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d39ca64416ba0b019ac16d68530689715d5ca1"/>
    <w:p>
      <w:pPr>
        <w:pStyle w:val="Heading1"/>
      </w:pPr>
      <w:r>
        <w:t xml:space="preserve">PROCEDIMIENTO DE GESTIÓN DE NO CONFORMIDADES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para el registro, análisis, tratamiento, seguimiento y cierre de las no conformidades detectadas en el SGSI, ya provengan de auditorías internas, auditorías externas, revisiones por la dirección, incidentes de seguridad o cualquier otra fuente.</w:t>
      </w:r>
    </w:p>
    <w:bookmarkEnd w:id="20"/>
    <w:bookmarkStart w:id="21" w:name="clasificación"/>
    <w:p>
      <w:pPr>
        <w:pStyle w:val="Heading2"/>
      </w:pPr>
      <w:r>
        <w:t xml:space="preserve">2. CLASIFICACIÓN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sistemático, ausencia total de control crítico, fallo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puntual, fallo aislado no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formal con potencial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en 90 días, acción voluntaria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Oportunidad de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sin incumplimiento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por el Comité</w:t>
            </w:r>
          </w:p>
        </w:tc>
      </w:tr>
    </w:tbl>
    <w:bookmarkEnd w:id="21"/>
    <w:bookmarkStart w:id="22" w:name="flujo-operativo"/>
    <w:p>
      <w:pPr>
        <w:pStyle w:val="Heading2"/>
      </w:pPr>
      <w:r>
        <w:t xml:space="preserve">3.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la NC en el</w:t>
            </w:r>
            <w:r>
              <w:t xml:space="preserve"> </w:t>
            </w:r>
            <w:r>
              <w:rPr>
                <w:bCs/>
                <w:b/>
              </w:rPr>
              <w:t xml:space="preserve">Registro de No Conformidades</w:t>
            </w:r>
            <w:r>
              <w:t xml:space="preserve"> </w:t>
            </w:r>
            <w:r>
              <w:t xml:space="preserve">con: fuente, descripción, evidencia, clasificación, área afectada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la detecta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al</w:t>
            </w:r>
            <w:r>
              <w:t xml:space="preserve"> </w:t>
            </w:r>
            <w:r>
              <w:rPr>
                <w:bCs/>
                <w:b/>
              </w:rPr>
              <w:t xml:space="preserve">responsable del área afectada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de causa raíz</w:t>
            </w:r>
            <w:r>
              <w:t xml:space="preserve"> </w:t>
            </w:r>
            <w:r>
              <w:t xml:space="preserve">(5 Whys, Ishikawa u otra técnica apropiada)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 del</w:t>
            </w:r>
            <w:r>
              <w:t xml:space="preserve"> </w:t>
            </w:r>
            <w:r>
              <w:rPr>
                <w:bCs/>
                <w:b/>
              </w:rPr>
              <w:t xml:space="preserve">Plan de Acción Correctiva (PAC)</w:t>
            </w:r>
            <w:r>
              <w:t xml:space="preserve">: acciones a emprender, responsable de cada acción, plazo, indicador de cierre, acciones preventivas para evitar recurrencia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tras 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Aprobación del 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  <w:r>
              <w:t xml:space="preserve"> </w:t>
            </w:r>
            <w:r>
              <w:t xml:space="preserve">de las acciones correctivas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de eficacia</w:t>
            </w:r>
            <w:r>
              <w:t xml:space="preserve">: comprobar que la NC no recurrirá. Puede incluir: revisión documental, nueva inspección, nueva auditoría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(o auditor)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tras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Cierre formal</w:t>
            </w:r>
            <w:r>
              <w:t xml:space="preserve"> </w:t>
            </w:r>
            <w:r>
              <w:t xml:space="preserve">de la NC en 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verificación</w:t>
            </w:r>
          </w:p>
        </w:tc>
      </w:tr>
    </w:tbl>
    <w:bookmarkEnd w:id="22"/>
    <w:bookmarkStart w:id="23" w:name="escalado"/>
    <w:p>
      <w:pPr>
        <w:pStyle w:val="Heading2"/>
      </w:pPr>
      <w:r>
        <w:t xml:space="preserve">4. ESCALADO</w:t>
      </w:r>
    </w:p>
    <w:p>
      <w:pPr>
        <w:pStyle w:val="FirstParagraph"/>
      </w:pPr>
      <w:r>
        <w:t xml:space="preserve">Las NC Mayores no cerradas en plazo se escalan al Comité de Seguridad. Las NC Mayores recurrentes (misma causa raíz detectada en dos ciclos consecutivos) se escalan a {{ cliente.organo_aprobador_politicas }}.</w:t>
      </w:r>
    </w:p>
    <w:bookmarkEnd w:id="23"/>
    <w:bookmarkStart w:id="24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Mayores cerradas en 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Menores cerradas en 180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recurrentes (misma causa raíz en 2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 aprobados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}}-220 — Versión {{ proyecto.version_actual }} — Clasificación: INTERNA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E-220 · Documento E-220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}}-220</vt:lpwstr>
  </property>
  <property fmtid="{D5CDD505-2E9C-101B-9397-08002B2CF9AE}" pid="4" name="politica_madre">
    <vt:lpwstr>{{ proyecto.codigo_documento_base }}-100</vt:lpwstr>
  </property>
  <property fmtid="{D5CDD505-2E9C-101B-9397-08002B2CF9AE}" pid="5" name="titulo">
    <vt:lpwstr>Procedimiento de Gestión de No Conformidades y Acciones Correctivas</vt:lpwstr>
  </property>
  <property fmtid="{D5CDD505-2E9C-101B-9397-08002B2CF9AE}" pid="6" name="version">
    <vt:lpwstr>{{ proyecto.version_actual }}</vt:lpwstr>
  </property>
</Properties>
</file>