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4" w:name="Xef9e95beefd982442b2f6e1643dc5c657d64122"/>
    <w:p>
      <w:pPr>
        <w:pStyle w:val="Heading1"/>
      </w:pPr>
      <w:r>
        <w:t xml:space="preserve">PROCEDIMIENTO DE GESTIÓN DE EXCEPCIONES DE {{ cliente.razon_social | upper }}</w:t>
      </w:r>
    </w:p>
    <w:p>
      <w:pPr>
        <w:pStyle w:val="FirstParagraph"/>
      </w:pPr>
      <w:r>
        <w:rPr>
          <w:bCs/>
          <w:b/>
        </w:rPr>
        <w:t xml:space="preserve">Documento {{ proyecto.codigo_documento_base }}-222 — Versión {{ proyecto.version_actual }}</w:t>
      </w:r>
    </w:p>
    <w:p>
      <w:r>
        <w:pict>
          <v:rect style="width:0;height:1.5pt" o:hralign="center" o:hrstd="t" o:hr="t"/>
        </w:pict>
      </w:r>
    </w:p>
    <w:bookmarkStart w:id="20" w:name="objeto"/>
    <w:p>
      <w:pPr>
        <w:pStyle w:val="Heading2"/>
      </w:pPr>
      <w:r>
        <w:t xml:space="preserve">1. OBJETO</w:t>
      </w:r>
    </w:p>
    <w:p>
      <w:pPr>
        <w:pStyle w:val="FirstParagraph"/>
      </w:pPr>
      <w:r>
        <w:t xml:space="preserve">Regular el proceso formal por el que se autoriza el incumplimiento temporal o parcial de un requisito del SGSI cuando exista causa justificada, garantizando que el riesgo asumido está documentado, autorizado, compensado y acotado en el tiempo.</w:t>
      </w:r>
    </w:p>
    <w:bookmarkEnd w:id="20"/>
    <w:bookmarkStart w:id="21" w:name="flujo-operativo"/>
    <w:p>
      <w:pPr>
        <w:pStyle w:val="Heading2"/>
      </w:pPr>
      <w:r>
        <w:t xml:space="preserve">2. FLUJO OPERATIVO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Plazo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Solicitud</w:t>
            </w:r>
            <w:r>
              <w:t xml:space="preserve"> </w:t>
            </w:r>
            <w:r>
              <w:t xml:space="preserve">mediante formulario de excepción: requisito afectado, motivo, duración solicitada, riesgo asumido, medidas compensatorias propuestas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Solicitante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Análisis de riesgo</w:t>
            </w:r>
            <w:r>
              <w:t xml:space="preserve"> </w:t>
            </w:r>
            <w:r>
              <w:t xml:space="preserve">de la excepción: probabilidad × impacto de la no aplicación del control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Resp. Seguridad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días hábiles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Autorización</w:t>
            </w:r>
            <w:r>
              <w:t xml:space="preserve">: excepciones de riesgo bajo/medio → Resp. Seguridad. Excepciones de riesgo alto → Comité de Seguridad.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Autorizador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días hábiles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Registro</w:t>
            </w:r>
            <w:r>
              <w:t xml:space="preserve"> </w:t>
            </w:r>
            <w:r>
              <w:t xml:space="preserve">en el Registro de Excepciones con ID único, fecha de autorización, vigencia máxima (≤ 12 meses), condiciones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Resp. Seguridad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Inmediato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Implantación de medidas compensatorias</w:t>
            </w:r>
            <w:r>
              <w:t xml:space="preserve"> </w:t>
            </w:r>
            <w:r>
              <w:t xml:space="preserve">documentadas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Solicitante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Según excepción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Revisión periódica</w:t>
            </w:r>
            <w:r>
              <w:t xml:space="preserve"> </w:t>
            </w:r>
            <w:r>
              <w:t xml:space="preserve">de excepciones vigentes: ¿sigue siendo necesaria? ¿ha cambiado el riesgo?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Resp. Seguridad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Trimestral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Cierre</w:t>
            </w:r>
            <w:r>
              <w:t xml:space="preserve"> </w:t>
            </w:r>
            <w:r>
              <w:t xml:space="preserve">cuando la excepción expira, el requisito se cumple, o se renueva con nueva autorización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Resp. Seguridad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 vencimiento</w:t>
            </w:r>
          </w:p>
        </w:tc>
      </w:tr>
    </w:tbl>
    <w:bookmarkEnd w:id="21"/>
    <w:bookmarkStart w:id="22" w:name="vigencia"/>
    <w:p>
      <w:pPr>
        <w:pStyle w:val="Heading2"/>
      </w:pPr>
      <w:r>
        <w:t xml:space="preserve">3. VIGENCIA</w:t>
      </w:r>
    </w:p>
    <w:p>
      <w:pPr>
        <w:pStyle w:val="FirstParagraph"/>
      </w:pPr>
      <w:r>
        <w:t xml:space="preserve">Ninguna excepción podrá tener vigencia superior a</w:t>
      </w:r>
      <w:r>
        <w:t xml:space="preserve"> </w:t>
      </w:r>
      <w:r>
        <w:rPr>
          <w:bCs/>
          <w:b/>
        </w:rPr>
        <w:t xml:space="preserve">12 meses</w:t>
      </w:r>
      <w:r>
        <w:t xml:space="preserve">. Las prórrogas requieren nueva solicitud y nueva autorización, con actualización del análisis de riesgo.</w:t>
      </w:r>
    </w:p>
    <w:bookmarkEnd w:id="22"/>
    <w:bookmarkStart w:id="23" w:name="indicadores"/>
    <w:p>
      <w:pPr>
        <w:pStyle w:val="Heading2"/>
      </w:pPr>
      <w:r>
        <w:t xml:space="preserve">4. INDICADORES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Indicador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Excepciones vigentes con documentación completa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Excepciones expiradas sin renovar ni cerrar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Excepciones con medidas compensatorias verificadas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End w:id="24"/>
    <w:sectPr>
      <w:headerReference w:type="default" r:id="rId9"/>
      <w:footerReference w:type="default" r:id="rId1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type="auto" w:w="0"/>
      <w:tblLayout w:type="fixed"/>
      <w:tblLook w:firstColumn="1" w:firstRow="1" w:lastColumn="0" w:lastRow="0" w:noHBand="0" w:noVBand="1" w:val="04A0"/>
    </w:tblPr>
    <w:tblGrid>
      <w:gridCol w:w="3024"/>
      <w:gridCol w:w="3024"/>
      <w:gridCol w:w="3024"/>
    </w:tblGrid>
    <w:tr>
      <w:tc>
        <w:tcPr>
          <w:tcW w:type="dxa" w:w="3810"/>
        </w:tcPr>
        <w:p>
          <w:pPr>
            <w:jc w:val="left"/>
          </w:pPr>
          <w:r>
            <w:rPr>
              <w:b w:val="0"/>
              <w:color w:val="6B7280"/>
              <w:sz w:val="16"/>
            </w:rPr>
            <w:t>CONFIDENCIAL — {{ cliente.razon_social }}</w:t>
          </w:r>
        </w:p>
      </w:tc>
      <w:tc>
        <w:tcPr>
          <w:tcW w:type="dxa" w:w="2540"/>
        </w:tcPr>
        <w:p>
          <w:pPr>
            <w:jc w:val="center"/>
          </w:pPr>
          <w:r>
            <w:rPr>
              <w:b w:val="0"/>
              <w:color w:val="6B7280"/>
              <w:sz w:val="16"/>
            </w:rPr>
            <w:t>E-222 · v{{ proyecto.version_actual }}</w:t>
          </w:r>
        </w:p>
      </w:tc>
      <w:tc>
        <w:tcPr>
          <w:tcW w:type="dxa" w:w="2721"/>
        </w:tcPr>
        <w:p>
          <w:pPr>
            <w:jc w:val="right"/>
          </w:pPr>
          <w:r>
            <w:rPr>
              <w:b w:val="0"/>
              <w:color w:val="6B7280"/>
              <w:sz w:val="16"/>
            </w:rPr>
            <w:t xml:space="preserve">Página </w:t>
          </w:r>
          <w:r>
            <w:rPr>
              <w:b w:val="0"/>
              <w:color w:val="6B7280"/>
              <w:sz w:val="16"/>
            </w:rPr>
            <w:fldChar w:fldCharType="begin"/>
            <w:instrText xml:space="preserve">PAGE</w:instrText>
            <w:fldChar w:fldCharType="end"/>
          </w:r>
          <w:r>
            <w:rPr>
              <w:b w:val="0"/>
              <w:color w:val="6B7280"/>
              <w:sz w:val="16"/>
            </w:rPr>
            <w:t xml:space="preserve"> / </w:t>
          </w:r>
          <w:r>
            <w:rPr>
              <w:b w:val="0"/>
              <w:color w:val="6B7280"/>
              <w:sz w:val="16"/>
            </w:rPr>
            <w:fldChar w:fldCharType="begin"/>
            <w:instrText xml:space="preserve">NUMPAGES</w:instrText>
            <w:fldChar w:fldCharType="end"/>
          </w:r>
        </w:p>
      </w:tc>
    </w:tr>
  </w:tbl>
  <w:p>
    <w:r>
      <w:rPr>
        <w:sz w:val="2"/>
      </w:rPr>
      <w:t>&lt;!--FX_FTR_V2--&gt;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type="auto" w:w="0"/>
      <w:jc w:val="center"/>
      <w:tblLayout w:type="fixed"/>
      <w:tblLook w:firstColumn="1" w:firstRow="1" w:lastColumn="0" w:lastRow="0" w:noHBand="0" w:noVBand="1" w:val="04A0"/>
    </w:tblPr>
    <w:tblGrid>
      <w:gridCol w:w="3024"/>
      <w:gridCol w:w="3024"/>
      <w:gridCol w:w="3024"/>
    </w:tblGrid>
    <w:tr>
      <w:tc>
        <w:tcPr>
          <w:tcW w:type="dxa" w:w="3447"/>
        </w:tcPr>
        <w:p>
          <w:pPr>
            <w:jc w:val="left"/>
          </w:pPr>
          <w:r>
            <w:rPr>
              <w:b/>
              <w:color w:val="0B1F3A"/>
              <w:sz w:val="22"/>
            </w:rPr>
            <w:t>{{ cliente.header_brand }}</w:t>
          </w:r>
        </w:p>
      </w:tc>
      <w:tc>
        <w:tcPr>
          <w:tcW w:type="dxa" w:w="3084"/>
        </w:tcPr>
        <w:p>
          <w:pPr>
            <w:jc w:val="center"/>
          </w:pPr>
          <w:r>
            <w:rPr>
              <w:b w:val="0"/>
              <w:color w:val="6B7280"/>
              <w:sz w:val="18"/>
            </w:rPr>
            <w:t>E-222 · Documento E-222</w:t>
            <w:br/>
            <w:t>versión {{ proyecto.version_actual }}</w:t>
          </w:r>
        </w:p>
      </w:tc>
      <w:tc>
        <w:tcPr>
          <w:tcW w:type="dxa" w:w="2540"/>
        </w:tcPr>
        <w:p>
          <w:pPr>
            <w:jc w:val="right"/>
          </w:pPr>
          <w:r>
            <w:rPr>
              <w:b w:val="0"/>
              <w:color w:val="0B1F3A"/>
              <w:sz w:val="18"/>
            </w:rPr>
            <w:t>{{ consultor.header_brand }}</w:t>
          </w:r>
        </w:p>
      </w:tc>
    </w:tr>
  </w:tbl>
  <w:p>
    <w:r>
      <w:rPr>
        <w:sz w:val="2"/>
      </w:rPr>
      <w:t>&lt;!--FX_HDR_V2--&gt;</w:t>
    </w:r>
  </w:p>
</w:hdr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2026-04-14T18:00:39Z</dcterms:created>
  <dcterms:modified xsi:type="dcterms:W3CDTF">2026-04-14T18:00:39Z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ificacion">
    <vt:lpwstr>INTERNA</vt:lpwstr>
  </property>
  <property fmtid="{D5CDD505-2E9C-101B-9397-08002B2CF9AE}" pid="3" name="codigo_documento">
    <vt:lpwstr>{{ proyecto.codigo_documento_base }}-222</vt:lpwstr>
  </property>
  <property fmtid="{D5CDD505-2E9C-101B-9397-08002B2CF9AE}" pid="4" name="politica_madre">
    <vt:lpwstr>{{ proyecto.codigo_documento_base }}-100</vt:lpwstr>
  </property>
  <property fmtid="{D5CDD505-2E9C-101B-9397-08002B2CF9AE}" pid="5" name="titulo">
    <vt:lpwstr>Procedimiento de Gestión de Excepciones</vt:lpwstr>
  </property>
  <property fmtid="{D5CDD505-2E9C-101B-9397-08002B2CF9AE}" pid="6" name="version">
    <vt:lpwstr>{{ proyecto.version_actual }}</vt:lpwstr>
  </property>
</Properties>
</file>