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823bea01520b1075889a3665d146d956826312"/>
    <w:p>
      <w:pPr>
        <w:pStyle w:val="Heading1"/>
      </w:pPr>
      <w:r>
        <w:t xml:space="preserve">PROCEDIMIENTO DE PRUEBAS PRE-PRODUCCIÓN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}}-225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Garantizar que toda modificación de software o infraestructura se prueba en un entorno equivalente a producción antes de su despliegue, detectando defectos funcionales y de seguridad antes de que impacten a los servicios reales.</w:t>
      </w:r>
    </w:p>
    <w:bookmarkEnd w:id="20"/>
    <w:bookmarkStart w:id="21" w:name="entorno-de-preproducción"/>
    <w:p>
      <w:pPr>
        <w:pStyle w:val="Heading2"/>
      </w:pPr>
      <w:r>
        <w:t xml:space="preserve">2. ENTORNO DE PREPRODUCCIÓN</w:t>
      </w:r>
    </w:p>
    <w:p>
      <w:pPr>
        <w:numPr>
          <w:ilvl w:val="0"/>
          <w:numId w:val="1001"/>
        </w:numPr>
      </w:pPr>
      <w:r>
        <w:t xml:space="preserve">El entorno de preproducción será</w:t>
      </w:r>
      <w:r>
        <w:t xml:space="preserve"> </w:t>
      </w:r>
      <w:r>
        <w:rPr>
          <w:bCs/>
          <w:b/>
        </w:rPr>
        <w:t xml:space="preserve">equivalente al productivo</w:t>
      </w:r>
      <w:r>
        <w:t xml:space="preserve"> </w:t>
      </w:r>
      <w:r>
        <w:t xml:space="preserve">en configuración, versiones de software y datos de prueba representativos (datos anonimizados, nunca datos personales reales).</w:t>
      </w:r>
    </w:p>
    <w:p>
      <w:pPr>
        <w:numPr>
          <w:ilvl w:val="0"/>
          <w:numId w:val="1001"/>
        </w:numPr>
      </w:pPr>
      <w:r>
        <w:t xml:space="preserve">El acceso al entorno de preproducción se restringirá al personal técnico autorizado.</w:t>
      </w:r>
    </w:p>
    <w:p>
      <w:pPr>
        <w:numPr>
          <w:ilvl w:val="0"/>
          <w:numId w:val="1001"/>
        </w:numPr>
      </w:pPr>
      <w:r>
        <w:t xml:space="preserve">Las credenciales del entorno de preproducción serán distintas de las de producción.</w:t>
      </w:r>
    </w:p>
    <w:bookmarkEnd w:id="21"/>
    <w:bookmarkStart w:id="22" w:name="criterios-de-paso-a-producción"/>
    <w:p>
      <w:pPr>
        <w:pStyle w:val="Heading2"/>
      </w:pPr>
      <w:r>
        <w:t xml:space="preserve">3. CRITERIOS DE PASO A PRODUCCIÓN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funcionales superadas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SAST sin hallazgos CRÍTICOS/ALTOS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 sin CVEs CRÍTICAS en 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DAST sin hallazgos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(categoría MEDIA+)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rendimiento si aplica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configuración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Aprobación del 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E-225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E-225 · Documento E-225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}}-225</vt:lpwstr>
  </property>
  <property fmtid="{D5CDD505-2E9C-101B-9397-08002B2CF9AE}" pid="4" name="politica_madre">
    <vt:lpwstr>{{ proyecto.codigo_documento_base }}-114</vt:lpwstr>
  </property>
  <property fmtid="{D5CDD505-2E9C-101B-9397-08002B2CF9AE}" pid="5" name="titulo">
    <vt:lpwstr>Procedimiento de Pruebas Pre-Producción</vt:lpwstr>
  </property>
  <property fmtid="{D5CDD505-2E9C-101B-9397-08002B2CF9AE}" pid="6" name="version">
    <vt:lpwstr>{{ proyecto.version_actual }}</vt:lpwstr>
  </property>
</Properties>
</file>