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cbbbeba8dc5cd030e55699e93ef092499c1057e"/>
    <w:p>
      <w:pPr>
        <w:pStyle w:val="Heading1"/>
      </w:pPr>
      <w:r>
        <w:t xml:space="preserve">PROCEDIMIENTO DE GESTIÓN CRIPTOGRÁFICA DE {{ cliente.razon_social | upper }}</w:t>
      </w:r>
    </w:p>
    <w:p>
      <w:pPr>
        <w:pStyle w:val="FirstParagraph"/>
      </w:pPr>
      <w:r>
        <w:rPr>
          <w:bCs/>
          <w:b/>
        </w:rPr>
        <w:t xml:space="preserve">Documento {{ proyecto.codigo_documento_base }}-232 — Versión {{ proyecto.version_actual }}</w:t>
      </w:r>
    </w:p>
    <w:p>
      <w:r>
        <w:pict>
          <v:rect style="width:0;height:1.5pt" o:hralign="center" o:hrstd="t" o:hr="t"/>
        </w:pict>
      </w:r>
    </w:p>
    <w:bookmarkStart w:id="20" w:name="objeto"/>
    <w:p>
      <w:pPr>
        <w:pStyle w:val="Heading2"/>
      </w:pPr>
      <w:r>
        <w:t xml:space="preserve">1. OBJETO</w:t>
      </w:r>
    </w:p>
    <w:p>
      <w:pPr>
        <w:pStyle w:val="FirstParagraph"/>
      </w:pPr>
      <w:r>
        <w:t xml:space="preserve">Detallar la operación del inventario de claves, los procedimientos de generación, rotación, archivo y destrucción, y la respuesta ante compromiso o sospecha de compromiso de material criptográfico.</w:t>
      </w:r>
    </w:p>
    <w:bookmarkEnd w:id="20"/>
    <w:bookmarkStart w:id="21" w:name="inventario-de-claves"/>
    <w:p>
      <w:pPr>
        <w:pStyle w:val="Heading2"/>
      </w:pPr>
      <w:r>
        <w:t xml:space="preserve">2. INVENTARIO DE CLAVES</w:t>
      </w:r>
    </w:p>
    <w:p>
      <w:pPr>
        <w:pStyle w:val="FirstParagraph"/>
      </w:pPr>
      <w:r>
        <w:t xml:space="preserve">Conforme a E-120 §2, el inventario registra: ID clave, tipo, algoritmo, longitud, propósito, sistema, fecha generación, fecha expiración, custodio, estado.</w:t>
      </w:r>
    </w:p>
    <w:p>
      <w:pPr>
        <w:pStyle w:val="BodyText"/>
      </w:pPr>
      <w:r>
        <w:t xml:space="preserve">Se revisa</w:t>
      </w:r>
      <w:r>
        <w:t xml:space="preserve"> </w:t>
      </w:r>
      <w:r>
        <w:rPr>
          <w:bCs/>
          <w:b/>
        </w:rPr>
        <w:t xml:space="preserve">trimestralmente</w:t>
      </w:r>
      <w:r>
        <w:t xml:space="preserve"> </w:t>
      </w:r>
      <w:r>
        <w:t xml:space="preserve">por el Resp. Seguridad.</w:t>
      </w:r>
    </w:p>
    <w:bookmarkEnd w:id="21"/>
    <w:bookmarkStart w:id="22" w:name="rotación-programada"/>
    <w:p>
      <w:pPr>
        <w:pStyle w:val="Heading2"/>
      </w:pPr>
      <w:r>
        <w:t xml:space="preserve">3. ROTACIÓN PROGRAMADA</w:t>
      </w:r>
    </w:p>
    <w:p>
      <w:pPr>
        <w:pStyle w:val="FirstParagraph"/>
      </w:pPr>
      <w:r>
        <w:t xml:space="preserve">Conforme a la tabla de E-120 §5: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 de clave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Procedimiento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de sesión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sesión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Automático por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operativas (cifrado reposo)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Generar nueva clave → re-cifrar datos → destruir clave anterior (o archivar si los datos cifrados deben ser accesibles)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de servidor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Renovar certificado → desplegar →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Certificados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Conforme al periodo del certificado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Renovar con el Prestador de Servicios de Confianza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maestras (KEK)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control: generar nueva KEK → re-envolver claves operativas → destruir KEK anterior</w:t>
            </w:r>
          </w:p>
        </w:tc>
      </w:tr>
    </w:tbl>
    <w:bookmarkEnd w:id="22"/>
    <w:bookmarkStart w:id="23" w:name="respuesta-a-compromiso"/>
    <w:p>
      <w:pPr>
        <w:pStyle w:val="Heading2"/>
      </w:pPr>
      <w:r>
        <w:t xml:space="preserve">4. RESPUESTA A COMPROMISO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Notificar al Resp.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Inmediato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Revocar</w:t>
            </w:r>
            <w:r>
              <w:t xml:space="preserve"> </w:t>
            </w:r>
            <w:r>
              <w:t xml:space="preserve">la clave comprometida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Generar</w:t>
            </w:r>
            <w:r>
              <w:t xml:space="preserve"> </w:t>
            </w:r>
            <w:r>
              <w:t xml:space="preserve">clave de sustitución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Evaluar</w:t>
            </w:r>
            <w:r>
              <w:t xml:space="preserve"> </w:t>
            </w:r>
            <w:r>
              <w:t xml:space="preserve">la integridad de la información protegida por la clave comprometida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Gestionar como incidente conforme a E-204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E-204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 la clave comprometida protegía datos personales → evaluar si es brecha RGPD (E-212)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E-212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Documentar en el inventario: fecha revocación, motivo, clave sustituta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Resp. Seguridad</w:t>
            </w:r>
          </w:p>
        </w:tc>
      </w:tr>
    </w:tbl>
    <w:bookmarkEnd w:id="23"/>
    <w:bookmarkStart w:id="24" w:name="indicadores"/>
    <w:p>
      <w:pPr>
        <w:pStyle w:val="Heading2"/>
      </w:pPr>
      <w:r>
        <w:t xml:space="preserve">5. INDICADORES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rotadas en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Claves expiradas sin rotación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Compromisos de clave gestionados en &lt; 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sectPr>
      <w:headerReference w:type="default" r:id="rId9"/>
      <w:footerReference w:type="default" r:id="rId1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810"/>
        </w:tcPr>
        <w:p>
          <w:pPr>
            <w:jc w:val="left"/>
          </w:pPr>
          <w:r>
            <w:rPr>
              <w:b w:val="0"/>
              <w:color w:val="6B7280"/>
              <w:sz w:val="16"/>
            </w:rPr>
            <w:t>CONFIDENCIAL — {{ cliente.razon_social }}</w:t>
          </w:r>
        </w:p>
      </w:tc>
      <w:tc>
        <w:tcPr>
          <w:tcW w:type="dxa" w:w="2540"/>
        </w:tcPr>
        <w:p>
          <w:pPr>
            <w:jc w:val="center"/>
          </w:pPr>
          <w:r>
            <w:rPr>
              <w:b w:val="0"/>
              <w:color w:val="6B7280"/>
              <w:sz w:val="16"/>
            </w:rPr>
            <w:t>E-232 · v{{ proyecto.version_actual }}</w:t>
          </w:r>
        </w:p>
      </w:tc>
      <w:tc>
        <w:tcPr>
          <w:tcW w:type="dxa" w:w="2721"/>
        </w:tcPr>
        <w:p>
          <w:pPr>
            <w:jc w:val="right"/>
          </w:pPr>
          <w:r>
            <w:rPr>
              <w:b w:val="0"/>
              <w:color w:val="6B7280"/>
              <w:sz w:val="16"/>
            </w:rPr>
            <w:t xml:space="preserve">Página </w:t>
          </w:r>
          <w:r>
            <w:rPr>
              <w:b w:val="0"/>
              <w:color w:val="6B7280"/>
              <w:sz w:val="16"/>
            </w:rPr>
            <w:fldChar w:fldCharType="begin"/>
            <w:instrText xml:space="preserve">PAGE</w:instrText>
            <w:fldChar w:fldCharType="end"/>
          </w:r>
          <w:r>
            <w:rPr>
              <w:b w:val="0"/>
              <w:color w:val="6B7280"/>
              <w:sz w:val="16"/>
            </w:rPr>
            <w:t xml:space="preserve"> / </w:t>
          </w:r>
          <w:r>
            <w:rPr>
              <w:b w:val="0"/>
              <w:color w:val="6B7280"/>
              <w:sz w:val="16"/>
            </w:rPr>
            <w:fldChar w:fldCharType="begin"/>
            <w:instrText xml:space="preserve">NUMPAGES</w:instrText>
            <w:fldChar w:fldCharType="end"/>
          </w:r>
        </w:p>
      </w:tc>
    </w:tr>
  </w:tbl>
  <w:p>
    <w:r>
      <w:rPr>
        <w:sz w:val="2"/>
      </w:rPr>
      <w:t>&lt;!--FX_FTR_V2--&gt;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Layout w:type="fixed"/>
      <w:tblLook w:firstColumn="1" w:firstRow="1" w:lastColumn="0" w:lastRow="0" w:noHBand="0" w:noVBand="1" w:val="04A0"/>
    </w:tblPr>
    <w:tblGrid>
      <w:gridCol w:w="3024"/>
      <w:gridCol w:w="3024"/>
      <w:gridCol w:w="3024"/>
    </w:tblGrid>
    <w:tr>
      <w:tc>
        <w:tcPr>
          <w:tcW w:type="dxa" w:w="3447"/>
        </w:tcPr>
        <w:p>
          <w:pPr>
            <w:jc w:val="left"/>
          </w:pPr>
          <w:r>
            <w:rPr>
              <w:b/>
              <w:color w:val="0B1F3A"/>
              <w:sz w:val="22"/>
            </w:rPr>
            <w:t>{{ cliente.header_brand }}</w:t>
          </w:r>
        </w:p>
      </w:tc>
      <w:tc>
        <w:tcPr>
          <w:tcW w:type="dxa" w:w="3084"/>
        </w:tcPr>
        <w:p>
          <w:pPr>
            <w:jc w:val="center"/>
          </w:pPr>
          <w:r>
            <w:rPr>
              <w:b w:val="0"/>
              <w:color w:val="6B7280"/>
              <w:sz w:val="18"/>
            </w:rPr>
            <w:t>E-232 · Documento E-232</w:t>
            <w:br/>
            <w:t>versión {{ proyecto.version_actual }}</w:t>
          </w:r>
        </w:p>
      </w:tc>
      <w:tc>
        <w:tcPr>
          <w:tcW w:type="dxa" w:w="2540"/>
        </w:tcPr>
        <w:p>
          <w:pPr>
            <w:jc w:val="right"/>
          </w:pPr>
          <w:r>
            <w:rPr>
              <w:b w:val="0"/>
              <w:color w:val="0B1F3A"/>
              <w:sz w:val="18"/>
            </w:rPr>
            <w:t>{{ consultor.header_brand }}</w:t>
          </w:r>
        </w:p>
      </w:tc>
    </w:tr>
  </w:tbl>
  <w:p>
    <w:r>
      <w:rPr>
        <w:sz w:val="2"/>
      </w:rPr>
      <w:t>&lt;!--FX_HDR_V2--&gt;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2026-04-14T18:00:40Z</dcterms:created>
  <dcterms:modified xsi:type="dcterms:W3CDTF">2026-04-14T18:00:40Z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ificacion">
    <vt:lpwstr>INTERNA</vt:lpwstr>
  </property>
  <property fmtid="{D5CDD505-2E9C-101B-9397-08002B2CF9AE}" pid="3" name="codigo_documento">
    <vt:lpwstr>{{ proyecto.codigo_documento_base }}-232</vt:lpwstr>
  </property>
  <property fmtid="{D5CDD505-2E9C-101B-9397-08002B2CF9AE}" pid="4" name="politica_madre">
    <vt:lpwstr>{{ proyecto.codigo_documento_base }}-107, {{ proyecto.codigo_documento_base }}-120</vt:lpwstr>
  </property>
  <property fmtid="{D5CDD505-2E9C-101B-9397-08002B2CF9AE}" pid="5" name="titulo">
    <vt:lpwstr>Procedimiento de Gestión Criptográfica</vt:lpwstr>
  </property>
  <property fmtid="{D5CDD505-2E9C-101B-9397-08002B2CF9AE}" pid="6" name="version">
    <vt:lpwstr>{{ proyecto.version_actual }}</vt:lpwstr>
  </property>
</Properties>
</file>