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c852be4e22b483a35a2438e03b535cd71b2621b"/>
    <w:p>
      <w:pPr>
        <w:pStyle w:val="Heading1"/>
      </w:pPr>
      <w:r>
        <w:t xml:space="preserve">ESTRATEGIAS DE CONTINUIDAD DE NEGOCIO DE {{ cliente.razon_social|upper }}</w:t>
      </w:r>
    </w:p>
    <w:p>
      <w:pPr>
        <w:pStyle w:val="FirstParagraph"/>
      </w:pPr>
      <w:r>
        <w:t xml:space="preserve">Documento {{ proyecto.codigo_documento_base }}-401 — Versión {{ proyecto.version_actual }}</w:t>
      </w:r>
    </w:p>
    <w:bookmarkStart w:id="20" w:name="control-de-cambios"/>
    <w:p>
      <w:pPr>
        <w:pStyle w:val="Heading2"/>
      </w:pPr>
      <w:r>
        <w:t xml:space="preserve">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proyecto.version_actual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proyecto.fecha_aprobacion_inicial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responsables.consultor.nombre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</w:t>
            </w:r>
          </w:p>
        </w:tc>
      </w:tr>
    </w:tbl>
    <w:bookmarkEnd w:id="20"/>
    <w:bookmarkStart w:id="21" w:name="registro-de-aprobación"/>
    <w:p>
      <w:pPr>
        <w:pStyle w:val="Heading2"/>
      </w:pPr>
      <w:r>
        <w:t xml:space="preserve">REGISTRO DE APROBACIÓN</w:t>
      </w:r>
    </w:p>
    <w:p>
      <w:pPr>
        <w:pStyle w:val="FirstParagraph"/>
      </w:pPr>
      <w:r>
        <w:t xml:space="preserve">El presente documento de Estrategias de Continuidad ha sido elaborado por {{ responsables.consultor.nombre }}, en su condición de {{ responsables.consultor.cargo }}, revisado por {{ responsables.responsable_seguridad.nombre }} ({{ responsables.responsable_seguridad.cargo }}) y aprobado por {{ cliente.organo_aprobador_politicas }} de {{ cliente.razon_social }}.</w:t>
      </w:r>
    </w:p>
    <w:bookmarkEnd w:id="21"/>
    <w:bookmarkStart w:id="22" w:name="Xffd7d5e7e28940b671c16451296ec579edbd0f5"/>
    <w:p>
      <w:pPr>
        <w:pStyle w:val="Heading2"/>
      </w:pPr>
      <w:r>
        <w:t xml:space="preserve">1. OBJETO Y MARCO NORMATIVO</w:t>
      </w:r>
    </w:p>
    <w:p>
      <w:pPr>
        <w:pStyle w:val="FirstParagraph"/>
      </w:pPr>
      <w:r>
        <w:t xml:space="preserve">El presente documento define las estrategias de continuidad de negocio de {{ cliente.razon_social }} (en adelante, "la Entidad") aplicables al sistema {{ proyecto.sistema_principal }} en su alcance {{ proyecto.alcance }}, en cumplimiento de las siguientes obligaciones: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Esquema Nacional de Seguridad</w:t>
      </w:r>
      <w:r>
        <w:t xml:space="preserve"> </w:t>
      </w:r>
      <w:r>
        <w:t xml:space="preserve">(Real Decreto 311/2022), Anexo II, medida</w:t>
      </w:r>
      <w:r>
        <w:t xml:space="preserve"> </w:t>
      </w:r>
      <w:r>
        <w:rPr>
          <w:bCs/>
          <w:b/>
        </w:rPr>
        <w:t xml:space="preserve">op.cont.1 Análisis de impacto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op.cont.2 Plan de continuidad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UNE-ISO 22301:2020</w:t>
      </w:r>
      <w:r>
        <w:t xml:space="preserve"> </w:t>
      </w:r>
      <w:r>
        <w:t xml:space="preserve">Sistemas de gestión de la continuidad del negocio.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CCN-STIC-808</w:t>
      </w:r>
      <w:r>
        <w:t xml:space="preserve"> </w:t>
      </w:r>
      <w:r>
        <w:t xml:space="preserve">Guía de continuidad de servicios bajo el ENS.</w:t>
      </w:r>
    </w:p>
    <w:p>
      <w:pPr>
        <w:pStyle w:val="FirstParagraph"/>
      </w:pPr>
      <w:r>
        <w:t xml:space="preserve">Este documento se complementa con el Análisis de Impacto sobre el Negocio (E-400 BIA), el Plan de Continuidad del Negocio (E-402 BCP), el Plan de Recuperación de Desastres TIC (E-403 DRP) y el Plan de Pruebas (E-405).</w:t>
      </w:r>
    </w:p>
    <w:bookmarkEnd w:id="22"/>
    <w:bookmarkStart w:id="23" w:name="X8c49890cab2394ad6fc610767a1938515fcd0ca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Las estrategias documentadas aplican a los procesos de negocio críticos identificados en el BIA E-400 y a los servicios TIC sobre los que se sustentan, incluyendo personal, sistemas, instalaciones, proveedores críticos y datos.</w:t>
      </w:r>
    </w:p>
    <w:p>
      <w:pPr>
        <w:pStyle w:val="BodyText"/>
      </w:pPr>
      <w:r>
        <w:t xml:space="preserve">Quedan fuera del alcance los procesos no críticos cuyo cese durante una disrupción no compromete la viabilidad del servicio principal.</w:t>
      </w:r>
    </w:p>
    <w:bookmarkEnd w:id="23"/>
    <w:bookmarkStart w:id="24" w:name="X0ce94527e1dc300e1a533b4a00da5ffa9533739"/>
    <w:p>
      <w:pPr>
        <w:pStyle w:val="Heading2"/>
      </w:pPr>
      <w:r>
        <w:t xml:space="preserve">3. PROCESOS CRÍTICOS DEL NEGOCIO</w:t>
      </w:r>
    </w:p>
    <w:p>
      <w:pPr>
        <w:pStyle w:val="FirstParagraph"/>
      </w:pPr>
      <w:r>
        <w:t xml:space="preserve">A partir del BIA se han identificado los siguientes procesos críticos con sus objetivos de recuperación: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Proceso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 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 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proc in procesos_criticos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proc.rto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proc.rpo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proc.criticidad }}</w:t>
            </w:r>
          </w:p>
        </w:tc>
      </w:tr>
    </w:tbl>
    <w:p>
      <w:pPr>
        <w:pStyle w:val="BodyText"/>
      </w:pPr>
      <w:r>
        <w:t xml:space="preserve">{% endfor %}</w:t>
      </w:r>
    </w:p>
    <w:p>
      <w:pPr>
        <w:pStyle w:val="BodyText"/>
      </w:pPr>
      <w:r>
        <w:rPr>
          <w:bCs/>
          <w:b/>
        </w:rPr>
        <w:t xml:space="preserve">RTO</w:t>
      </w:r>
      <w:r>
        <w:t xml:space="preserve"> </w:t>
      </w:r>
      <w:r>
        <w:t xml:space="preserve">(Recovery Time Objective): tiempo máximo aceptable entre la disrupción y la recuperación operativa del proceso.</w:t>
      </w:r>
      <w:r>
        <w:t xml:space="preserve"> </w:t>
      </w:r>
      <w:r>
        <w:rPr>
          <w:bCs/>
          <w:b/>
        </w:rPr>
        <w:t xml:space="preserve">RPO</w:t>
      </w:r>
      <w:r>
        <w:t xml:space="preserve"> </w:t>
      </w:r>
      <w:r>
        <w:t xml:space="preserve">(Recovery Point Objective): pérdida máxima aceptable de datos medida en tiempo.</w:t>
      </w:r>
    </w:p>
    <w:bookmarkEnd w:id="24"/>
    <w:bookmarkStart w:id="25" w:name="X0427edb66f6ba3d0285adda6951b5c199bde2af"/>
    <w:p>
      <w:pPr>
        <w:pStyle w:val="Heading2"/>
      </w:pPr>
      <w:r>
        <w:t xml:space="preserve">4. ESTRATEGIAS POR PROCESO CRÍTICO</w:t>
      </w:r>
    </w:p>
    <w:p>
      <w:pPr>
        <w:pStyle w:val="FirstParagraph"/>
      </w:pPr>
      <w:r>
        <w:t xml:space="preserve">Para cada proceso crítico identificado se ha definido al menos una estrategia de continuidad alineada con su RTO/RPO: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 seleccionada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Coste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implantación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est in estrategias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est.proceso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est.estrategia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est.coste_estimado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est.responsable }}</w:t>
            </w:r>
          </w:p>
        </w:tc>
      </w:tr>
    </w:tbl>
    <w:p>
      <w:pPr>
        <w:pStyle w:val="BodyText"/>
      </w:pPr>
      <w:r>
        <w:t xml:space="preserve">{% endfor %}</w:t>
      </w:r>
    </w:p>
    <w:p>
      <w:pPr>
        <w:pStyle w:val="BodyText"/>
      </w:pPr>
      <w:r>
        <w:t xml:space="preserve">Las estrategias contempladas por la Entidad incluyen, según aplique: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Redundancia activa</w:t>
      </w:r>
      <w:r>
        <w:t xml:space="preserve">: duplicación de componentes críticos en operación continua (active-active).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Sitio alterno (cold/warm/hot)</w:t>
      </w:r>
      <w:r>
        <w:t xml:space="preserve">: infraestructura en ubicación distinta capaz de asumir la carga total o parcial.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Acuerdos de servicio con terceros</w:t>
      </w:r>
      <w:r>
        <w:t xml:space="preserve">: contratos de respaldo con proveedores capaces de prestar el servicio temporalmente.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Recuperación desde copias de seguridad</w:t>
      </w:r>
      <w:r>
        <w:t xml:space="preserve">: reconstrucción desde backups conforme a la política de copias E-106.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Procedimiento manual de contingencia</w:t>
      </w:r>
      <w:r>
        <w:t xml:space="preserve">: ejecución del proceso sin sistemas TIC durante un tiempo acotado.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Reducción controlada del servicio</w:t>
      </w:r>
      <w:r>
        <w:t xml:space="preserve">: prestación parcial priorizando funciones esenciales.</w:t>
      </w:r>
    </w:p>
    <w:bookmarkEnd w:id="25"/>
    <w:bookmarkStart w:id="30" w:name="X0a57ec9f41c0fb1b143a31f389eb07d7b27e692"/>
    <w:p>
      <w:pPr>
        <w:pStyle w:val="Heading2"/>
      </w:pPr>
      <w:r>
        <w:t xml:space="preserve">5. RECURSOS MÍNIMOS REQUERIDOS</w:t>
      </w:r>
    </w:p>
    <w:p>
      <w:pPr>
        <w:pStyle w:val="FirstParagraph"/>
      </w:pPr>
      <w:r>
        <w:t xml:space="preserve">La activación de las estrategias anteriores requiere disponibilidad asegurada de los siguientes recursos:</w:t>
      </w:r>
    </w:p>
    <w:bookmarkStart w:id="26" w:name="X8e84320dce9eeb241d1d3c0403a14897ca58c62"/>
    <w:p>
      <w:pPr>
        <w:pStyle w:val="Heading3"/>
      </w:pPr>
      <w:r>
        <w:t xml:space="preserve">5.1 Personas</w:t>
      </w:r>
    </w:p>
    <w:p>
      <w:pPr>
        <w:numPr>
          <w:ilvl w:val="0"/>
          <w:numId w:val="1003"/>
        </w:numPr>
        <w:pStyle w:val="Compact"/>
      </w:pPr>
      <w:r>
        <w:t xml:space="preserve">Equipo de gestión de la crisis (Comité de Continuidad).</w:t>
      </w:r>
    </w:p>
    <w:p>
      <w:pPr>
        <w:numPr>
          <w:ilvl w:val="0"/>
          <w:numId w:val="1003"/>
        </w:numPr>
        <w:pStyle w:val="Compact"/>
      </w:pPr>
      <w:r>
        <w:t xml:space="preserve">Equipos operativos por proceso crítico con suplentes designados.</w:t>
      </w:r>
    </w:p>
    <w:p>
      <w:pPr>
        <w:numPr>
          <w:ilvl w:val="0"/>
          <w:numId w:val="1003"/>
        </w:numPr>
        <w:pStyle w:val="Compact"/>
      </w:pPr>
      <w:r>
        <w:t xml:space="preserve">Personal técnico TIC con acceso a procedimientos de recuperación.</w:t>
      </w:r>
    </w:p>
    <w:p>
      <w:pPr>
        <w:numPr>
          <w:ilvl w:val="0"/>
          <w:numId w:val="1003"/>
        </w:numPr>
        <w:pStyle w:val="Compact"/>
      </w:pPr>
      <w:r>
        <w:t xml:space="preserve">Personal autorizado para la toma de decisiones financieras y contractuales.</w:t>
      </w:r>
    </w:p>
    <w:bookmarkEnd w:id="26"/>
    <w:bookmarkStart w:id="27" w:name="X527113220b18303b7678d4ff376daa4c361f57a"/>
    <w:p>
      <w:pPr>
        <w:pStyle w:val="Heading3"/>
      </w:pPr>
      <w:r>
        <w:t xml:space="preserve">5.2 Sistemas e infraestructura</w:t>
      </w:r>
    </w:p>
    <w:p>
      <w:pPr>
        <w:numPr>
          <w:ilvl w:val="0"/>
          <w:numId w:val="1004"/>
        </w:numPr>
        <w:pStyle w:val="Compact"/>
      </w:pPr>
      <w:r>
        <w:t xml:space="preserve">Sistemas redundantes o de respaldo conforme al BIA.</w:t>
      </w:r>
    </w:p>
    <w:p>
      <w:pPr>
        <w:numPr>
          <w:ilvl w:val="0"/>
          <w:numId w:val="1004"/>
        </w:numPr>
        <w:pStyle w:val="Compact"/>
      </w:pPr>
      <w:r>
        <w:t xml:space="preserve">Copias de seguridad accesibles y validadas (política E-106).</w:t>
      </w:r>
    </w:p>
    <w:p>
      <w:pPr>
        <w:numPr>
          <w:ilvl w:val="0"/>
          <w:numId w:val="1004"/>
        </w:numPr>
        <w:pStyle w:val="Compact"/>
      </w:pPr>
      <w:r>
        <w:t xml:space="preserve">Conectividad de respaldo (líneas alternas, 4G/5G de emergencia).</w:t>
      </w:r>
    </w:p>
    <w:p>
      <w:pPr>
        <w:numPr>
          <w:ilvl w:val="0"/>
          <w:numId w:val="1004"/>
        </w:numPr>
        <w:pStyle w:val="Compact"/>
      </w:pPr>
      <w:r>
        <w:t xml:space="preserve">Inventario actualizado de software crítico y licencias.</w:t>
      </w:r>
    </w:p>
    <w:bookmarkEnd w:id="27"/>
    <w:bookmarkStart w:id="28" w:name="X806a5ada8f5d28df2402e9f45d42c5d56e4eaf9"/>
    <w:p>
      <w:pPr>
        <w:pStyle w:val="Heading3"/>
      </w:pPr>
      <w:r>
        <w:t xml:space="preserve">5.3 Localizaciones alternas</w:t>
      </w:r>
    </w:p>
    <w:p>
      <w:pPr>
        <w:pStyle w:val="FirstParagraph"/>
      </w:pPr>
      <w:r>
        <w:t xml:space="preserve">{% for ubic in ubicaciones_alternas %}-</w:t>
      </w:r>
      <w:r>
        <w:t xml:space="preserve"> </w:t>
      </w:r>
      <w:r>
        <w:rPr>
          <w:bCs/>
          <w:b/>
        </w:rPr>
        <w:t xml:space="preserve">{{ ubic.nombre }}</w:t>
      </w:r>
      <w:r>
        <w:t xml:space="preserve">: {{ ubic.direccion }}. Capacidad: {{ ubic.capacidad }}. Tiempo de activación: {{ ubic.tiempo_activacion }}.</w:t>
      </w:r>
      <w:r>
        <w:t xml:space="preserve"> </w:t>
      </w:r>
      <w:r>
        <w:t xml:space="preserve">{% endfor %}</w:t>
      </w:r>
    </w:p>
    <w:bookmarkEnd w:id="28"/>
    <w:bookmarkStart w:id="29" w:name="Xf0f7365183c2cb09971d137dfe313a6bddaf54c"/>
    <w:p>
      <w:pPr>
        <w:pStyle w:val="Heading3"/>
      </w:pPr>
      <w:r>
        <w:t xml:space="preserve">5.4 Proveedores críticos</w:t>
      </w:r>
    </w:p>
    <w:p>
      <w:pPr>
        <w:pStyle w:val="FirstParagraph"/>
      </w:pPr>
      <w:r>
        <w:t xml:space="preserve">{% for prov in proveedores_criticos %}-</w:t>
      </w:r>
      <w:r>
        <w:t xml:space="preserve"> </w:t>
      </w:r>
      <w:r>
        <w:rPr>
          <w:bCs/>
          <w:b/>
        </w:rPr>
        <w:t xml:space="preserve">{{ prov.nombre }}</w:t>
      </w:r>
      <w:r>
        <w:t xml:space="preserve"> </w:t>
      </w:r>
      <w:r>
        <w:t xml:space="preserve">({{ prov.tipo_servicio }}). SLA contractual: {{ prov.sla }}. Contacto de emergencia: {{ prov.contacto_emergencia }}.</w:t>
      </w:r>
      <w:r>
        <w:t xml:space="preserve"> </w:t>
      </w:r>
      <w:r>
        <w:t xml:space="preserve">{% endfor %}</w:t>
      </w:r>
    </w:p>
    <w:bookmarkEnd w:id="29"/>
    <w:bookmarkEnd w:id="30"/>
    <w:bookmarkStart w:id="31" w:name="X32d48ff04ebecb38226314606ffe0d346b1115e"/>
    <w:p>
      <w:pPr>
        <w:pStyle w:val="Heading2"/>
      </w:pPr>
      <w:r>
        <w:t xml:space="preserve">6. INVERSIÓN Y PLAN FINANCIERO</w:t>
      </w:r>
    </w:p>
    <w:p>
      <w:pPr>
        <w:pStyle w:val="FirstParagraph"/>
      </w:pPr>
      <w:r>
        <w:t xml:space="preserve">La Entidad asigna anualmente una partida presupuestaria específica para la continuidad de negocio, que incluye:</w:t>
      </w:r>
    </w:p>
    <w:p>
      <w:pPr>
        <w:numPr>
          <w:ilvl w:val="0"/>
          <w:numId w:val="1005"/>
        </w:numPr>
        <w:pStyle w:val="Compact"/>
      </w:pPr>
      <w:r>
        <w:t xml:space="preserve">Mantenimiento de la infraestructura de respaldo.</w:t>
      </w:r>
    </w:p>
    <w:p>
      <w:pPr>
        <w:numPr>
          <w:ilvl w:val="0"/>
          <w:numId w:val="1005"/>
        </w:numPr>
        <w:pStyle w:val="Compact"/>
      </w:pPr>
      <w:r>
        <w:t xml:space="preserve">Renovación de contratos con proveedores críticos y sitios alternos.</w:t>
      </w:r>
    </w:p>
    <w:p>
      <w:pPr>
        <w:numPr>
          <w:ilvl w:val="0"/>
          <w:numId w:val="1005"/>
        </w:numPr>
        <w:pStyle w:val="Compact"/>
      </w:pPr>
      <w:r>
        <w:t xml:space="preserve">Ejercicios de prueba conforme al E-405.</w:t>
      </w:r>
    </w:p>
    <w:p>
      <w:pPr>
        <w:numPr>
          <w:ilvl w:val="0"/>
          <w:numId w:val="1005"/>
        </w:numPr>
        <w:pStyle w:val="Compact"/>
      </w:pPr>
      <w:r>
        <w:t xml:space="preserve">Formación y concienciación al personal involucrado.</w:t>
      </w:r>
    </w:p>
    <w:p>
      <w:pPr>
        <w:numPr>
          <w:ilvl w:val="0"/>
          <w:numId w:val="1005"/>
        </w:numPr>
        <w:pStyle w:val="Compact"/>
      </w:pPr>
      <w:r>
        <w:t xml:space="preserve">Auditoría externa periódica del BCMS.</w:t>
      </w:r>
    </w:p>
    <w:p>
      <w:pPr>
        <w:pStyle w:val="FirstParagraph"/>
      </w:pPr>
      <w:r>
        <w:t xml:space="preserve">El presupuesto anual estimado para el período en vigor asciende a la cantidad consignada en el plan económico aprobado por {{ cliente.organo_aprobador_politicas }}.</w:t>
      </w:r>
    </w:p>
    <w:bookmarkEnd w:id="31"/>
    <w:bookmarkStart w:id="32" w:name="Xcc92788038d1bfe2f7c027f7ad3b9d07af3e732"/>
    <w:p>
      <w:pPr>
        <w:pStyle w:val="Heading2"/>
      </w:pPr>
      <w:r>
        <w:t xml:space="preserve">7. COMUNICACIÓN A STAKEHOLDERS</w:t>
      </w:r>
    </w:p>
    <w:p>
      <w:pPr>
        <w:pStyle w:val="FirstParagraph"/>
      </w:pPr>
      <w:r>
        <w:t xml:space="preserve">Las estrategias de continuidad se comunican a: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Personal interno</w:t>
      </w:r>
      <w:r>
        <w:t xml:space="preserve">: vía Intranet y sesiones de concienciación.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Clientes</w:t>
      </w:r>
      <w:r>
        <w:t xml:space="preserve">: cláusulas contractuales SLA y portal cliente cuando proceda.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Proveedores críticos</w:t>
      </w:r>
      <w:r>
        <w:t xml:space="preserve">: contratos de encargo y acuerdos de nivel de servicio.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Autoridades</w:t>
      </w:r>
      <w:r>
        <w:t xml:space="preserve">: cuando se requiera notificación (op.exp.7, RGPD-ART-33, NIS2-ART-23).</w:t>
      </w:r>
    </w:p>
    <w:p>
      <w:pPr>
        <w:pStyle w:val="FirstParagraph"/>
      </w:pPr>
      <w:r>
        <w:t xml:space="preserve">El detalle del proceso de comunicación durante la activación de una contingencia se desarrolla en el Plan de Comunicaciones en Crisis E-404.</w:t>
      </w:r>
    </w:p>
    <w:bookmarkEnd w:id="32"/>
    <w:bookmarkStart w:id="33" w:name="Xbb977a2288266a1bb6570b2a42392d8df06998d"/>
    <w:p>
      <w:pPr>
        <w:pStyle w:val="Heading2"/>
      </w:pPr>
      <w:r>
        <w:t xml:space="preserve">8. REVISIÓN Y ACTUALIZACIÓN</w:t>
      </w:r>
    </w:p>
    <w:p>
      <w:pPr>
        <w:pStyle w:val="FirstParagraph"/>
      </w:pPr>
      <w:r>
        <w:t xml:space="preserve">Las presentes estrategias se revisan con periodicidad</w:t>
      </w:r>
      <w:r>
        <w:t xml:space="preserve"> </w:t>
      </w:r>
      <w:r>
        <w:rPr>
          <w:bCs/>
          <w:b/>
        </w:rPr>
        <w:t xml:space="preserve">anual</w:t>
      </w:r>
      <w:r>
        <w:t xml:space="preserve"> </w:t>
      </w:r>
      <w:r>
        <w:t xml:space="preserve">y siempre que se produzcan:</w:t>
      </w:r>
    </w:p>
    <w:p>
      <w:pPr>
        <w:numPr>
          <w:ilvl w:val="0"/>
          <w:numId w:val="1007"/>
        </w:numPr>
        <w:pStyle w:val="Compact"/>
      </w:pPr>
      <w:r>
        <w:t xml:space="preserve">Cambios significativos en los procesos críticos identificados.</w:t>
      </w:r>
    </w:p>
    <w:p>
      <w:pPr>
        <w:numPr>
          <w:ilvl w:val="0"/>
          <w:numId w:val="1007"/>
        </w:numPr>
        <w:pStyle w:val="Compact"/>
      </w:pPr>
      <w:r>
        <w:t xml:space="preserve">Incorporación o baja de proveedores críticos.</w:t>
      </w:r>
    </w:p>
    <w:p>
      <w:pPr>
        <w:numPr>
          <w:ilvl w:val="0"/>
          <w:numId w:val="1007"/>
        </w:numPr>
        <w:pStyle w:val="Compact"/>
      </w:pPr>
      <w:r>
        <w:t xml:space="preserve">Modificación del alcance del sistema bajo ENS.</w:t>
      </w:r>
    </w:p>
    <w:p>
      <w:pPr>
        <w:numPr>
          <w:ilvl w:val="0"/>
          <w:numId w:val="1007"/>
        </w:numPr>
        <w:pStyle w:val="Compact"/>
      </w:pPr>
      <w:r>
        <w:t xml:space="preserve">Lecciones aprendidas tras un ejercicio (E-406) o incidente real.</w:t>
      </w:r>
    </w:p>
    <w:p>
      <w:pPr>
        <w:numPr>
          <w:ilvl w:val="0"/>
          <w:numId w:val="1007"/>
        </w:numPr>
        <w:pStyle w:val="Compact"/>
      </w:pPr>
      <w:r>
        <w:t xml:space="preserve">Cambios normativos relevantes (ENS, NIS2, DORA).</w:t>
      </w:r>
    </w:p>
    <w:p>
      <w:pPr>
        <w:pStyle w:val="FirstParagraph"/>
      </w:pPr>
      <w:r>
        <w:t xml:space="preserve">La aprobación de cada revisión corresponde a {{ cliente.organo_aprobador_politicas }}, previa propuesta de {{ responsables.responsable_seguridad.nombre }}.</w:t>
      </w:r>
    </w:p>
    <w:bookmarkEnd w:id="33"/>
    <w:bookmarkStart w:id="34" w:name="tabla-de-firmas"/>
    <w:p>
      <w:pPr>
        <w:pStyle w:val="Heading2"/>
      </w:pPr>
      <w:r>
        <w:t xml:space="preserve">TABLA DE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firmas.aprobado.firma_marca }}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2026-05-17T19:05:49Z</dcterms:created>
  <dcterms:modified xsi:type="dcterms:W3CDTF">2026-05-17T19:05:49Z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