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a7f88b4190625fb6cff25f07ce94188e0dc11d"/>
    <w:p>
      <w:pPr>
        <w:pStyle w:val="Heading1"/>
      </w:pPr>
      <w:r>
        <w:t xml:space="preserve">PLAN DE COMUNICACIONES EN CRISIS DE {{ cliente.razon_social|upper }}</w:t>
      </w:r>
    </w:p>
    <w:p>
      <w:pPr>
        <w:pStyle w:val="FirstParagraph"/>
      </w:pPr>
      <w:r>
        <w:t xml:space="preserve">Documento {{ proyecto.codigo_documento_base }}-404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Plan de Comunicaciones en Crisis ha sido elaborado por {{ responsables.consultor.nombre }},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Plan establece la estrategia, los canales, los responsables y las plantillas para gestionar la comunicación de {{ cliente.razon_social }} durante una crisis o un incidente de seguridad significativo, en cumplimiento 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Esquema Nacional de Seguridad</w:t>
      </w:r>
      <w:r>
        <w:t xml:space="preserve"> </w:t>
      </w:r>
      <w:r>
        <w:t xml:space="preserve">(RD 311/2022, medida</w:t>
      </w:r>
      <w:r>
        <w:t xml:space="preserve"> </w:t>
      </w:r>
      <w:r>
        <w:rPr>
          <w:bCs/>
          <w:b/>
        </w:rPr>
        <w:t xml:space="preserve">op.exp.7 Gestión de incidentes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RGPD Art. 33</w:t>
      </w:r>
      <w:r>
        <w:t xml:space="preserve"> </w:t>
      </w:r>
      <w:r>
        <w:t xml:space="preserve">(notificación de brecha a AEPD en 72h) y</w:t>
      </w:r>
      <w:r>
        <w:t xml:space="preserve"> </w:t>
      </w:r>
      <w:r>
        <w:rPr>
          <w:bCs/>
          <w:b/>
        </w:rPr>
        <w:t xml:space="preserve">Art. 34</w:t>
      </w:r>
      <w:r>
        <w:t xml:space="preserve"> </w:t>
      </w:r>
      <w:r>
        <w:t xml:space="preserve">(comunicación a interesados ante alto riesgo).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Directiva NIS2 Art. 23</w:t>
      </w:r>
      <w:r>
        <w:t xml:space="preserve"> </w:t>
      </w:r>
      <w:r>
        <w:t xml:space="preserve">(notificación de incidentes significativos: alerta inicial &lt; 24h, notificación detallada &lt; 72h, informe final ≤ 1 mes).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Reglamento DORA Art. 19</w:t>
      </w:r>
      <w:r>
        <w:t xml:space="preserve"> </w:t>
      </w:r>
      <w:r>
        <w:t xml:space="preserve">si la Entidad opera en el sector financiero o como proveedor TIC crítico financiero.</w:t>
      </w:r>
    </w:p>
    <w:bookmarkEnd w:id="22"/>
    <w:bookmarkStart w:id="23" w:name="Xc61ae8c453bcd224254842e790a2fb886a7c6c9"/>
    <w:p>
      <w:pPr>
        <w:pStyle w:val="Heading2"/>
      </w:pPr>
      <w:r>
        <w:t xml:space="preserve">2. MATRIZ DE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Plantilla 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sh in stakeholders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sh.tipo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sh.prioridad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sh.canal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sh.responsable_interno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sh.plantilla_ref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Stakeholders típicos a considerar (la matriz anterior los concreta para esta Entidad):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Internos</w:t>
      </w:r>
      <w:r>
        <w:t xml:space="preserve">: empleados, dirección, Comité de Continuidad.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Clientes</w:t>
      </w:r>
      <w:r>
        <w:t xml:space="preserve">: usuarios del servicio afectado.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Proveedores y partners</w:t>
      </w:r>
      <w:r>
        <w:t xml:space="preserve">: prestadores de servicio crítico.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Autoridades</w:t>
      </w:r>
      <w:r>
        <w:t xml:space="preserve">: AEPD, CCN-CERT, INCIBE-CERT, Banco de España/CNMV (si DORA aplica).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Medios de comunicación</w:t>
      </w:r>
      <w:r>
        <w:t xml:space="preserve">: prensa especializada y generalista.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Reguladores sectoriales</w:t>
      </w:r>
      <w:r>
        <w:t xml:space="preserve">: cuando aplique según el sector de la Entidad.</w:t>
      </w:r>
    </w:p>
    <w:bookmarkEnd w:id="23"/>
    <w:bookmarkStart w:id="29" w:name="Xe9f0bc9c8160ec510bd7ec26ce0d8a2a8ff432d"/>
    <w:p>
      <w:pPr>
        <w:pStyle w:val="Heading2"/>
      </w:pPr>
      <w:r>
        <w:t xml:space="preserve">3. PLANTILLAS DE MENSAJE POR AUDIENCIA</w:t>
      </w:r>
    </w:p>
    <w:bookmarkStart w:id="24" w:name="Xdb3a029ec519b7dff8407e122da40438913a2b7"/>
    <w:p>
      <w:pPr>
        <w:pStyle w:val="Heading3"/>
      </w:pPr>
      <w:r>
        <w:t xml:space="preserve">3.1 Comunicación interna a empleados</w:t>
      </w:r>
    </w:p>
    <w:p>
      <w:pPr>
        <w:pStyle w:val="FirstParagraph"/>
      </w:pPr>
      <w:r>
        <w:t xml:space="preserve">Asunto: Activación del Plan de Continuidad — Información para el equipo</w:t>
      </w:r>
    </w:p>
    <w:p>
      <w:pPr>
        <w:pStyle w:val="BodyText"/>
      </w:pPr>
      <w:r>
        <w:t xml:space="preserve">Mensaje: descripción objetiva del evento, instrucciones operativas (continuar / suspender ciertos servicios), canales de soporte habilitados, designación del portavoz único y prohibición expresa de comunicación externa sin autorización.</w:t>
      </w:r>
    </w:p>
    <w:bookmarkEnd w:id="24"/>
    <w:bookmarkStart w:id="25" w:name="Xf257abe09a52dfff66f0a77aa86ef7d9f641761"/>
    <w:p>
      <w:pPr>
        <w:pStyle w:val="Heading3"/>
      </w:pPr>
      <w:r>
        <w:t xml:space="preserve">3.2 Comunicación a clientes (servicio afectado)</w:t>
      </w:r>
    </w:p>
    <w:p>
      <w:pPr>
        <w:pStyle w:val="FirstParagraph"/>
      </w:pPr>
      <w:r>
        <w:t xml:space="preserve">Asunto: Incidencia en el servicio — Información actualizada</w:t>
      </w:r>
    </w:p>
    <w:p>
      <w:pPr>
        <w:pStyle w:val="BodyText"/>
      </w:pPr>
      <w:r>
        <w:t xml:space="preserve">Mensaje: descripción del impacto desde la perspectiva del cliente, estimación inicial de tiempo de resolución (RTO), canal de soporte para consultas, compromiso de comunicación de actualizaciones periódicas y disculpa formal cuando proceda.</w:t>
      </w:r>
    </w:p>
    <w:bookmarkEnd w:id="25"/>
    <w:bookmarkStart w:id="26" w:name="X168dbf2052479484bde9301b602ef3d4d829eba"/>
    <w:p>
      <w:pPr>
        <w:pStyle w:val="Heading3"/>
      </w:pPr>
      <w:r>
        <w:t xml:space="preserve">3.3 Comunicación a autoridades</w:t>
      </w:r>
    </w:p>
    <w:p>
      <w:pPr>
        <w:pStyle w:val="FirstParagraph"/>
      </w:pPr>
      <w:r>
        <w:rPr>
          <w:bCs/>
          <w:b/>
        </w:rPr>
        <w:t xml:space="preserve">3.3.1 AEPD (RGPD Art. 33)</w:t>
      </w:r>
      <w:r>
        <w:t xml:space="preserve">: notificación de brecha de datos personales en plazo de 72 horas desde el conocimiento si supone riesgo para los derechos de las personas. Formato: formulario oficial de la AEPD. Contenido mínimo: naturaleza de la brecha, categorías y nº aproximado de afectados, consecuencias probables, medidas adoptadas, datos de contacto del DPO.</w:t>
      </w:r>
    </w:p>
    <w:p>
      <w:pPr>
        <w:pStyle w:val="BodyText"/>
      </w:pPr>
      <w:r>
        <w:rPr>
          <w:bCs/>
          <w:b/>
        </w:rPr>
        <w:t xml:space="preserve">3.3.2 CCN-CERT / INCIBE-CERT (NIS2)</w:t>
      </w:r>
      <w:r>
        <w:t xml:space="preserve">: si la Entidad está incluida en el ámbito de aplicación de NIS2 (entidad esencial o importante), notificación inicial en plazo de 24 horas tras conocimiento del incidente significativo. Notificación detallada en 72 horas. Informe final en plazo no superior a un mes.</w:t>
      </w:r>
    </w:p>
    <w:p>
      <w:pPr>
        <w:pStyle w:val="BodyText"/>
      </w:pPr>
      <w:r>
        <w:rPr>
          <w:bCs/>
          <w:b/>
        </w:rPr>
        <w:t xml:space="preserve">3.3.3 Banco de España / CNMV (DORA)</w:t>
      </w:r>
      <w:r>
        <w:t xml:space="preserve">: si la Entidad es entidad financiera o proveedor TIC crítico, notificación inicial conforme a los plazos y formatos establecidos en el Reglamento DORA Art. 19.</w:t>
      </w:r>
    </w:p>
    <w:bookmarkEnd w:id="26"/>
    <w:bookmarkStart w:id="27" w:name="X3e7b62194a0d4bb150a6e1fd4b1dbd7b2d10634"/>
    <w:p>
      <w:pPr>
        <w:pStyle w:val="Heading3"/>
      </w:pPr>
      <w:r>
        <w:t xml:space="preserve">3.4 Comunicación a interesados (RGPD Art. 34)</w:t>
      </w:r>
    </w:p>
    <w:p>
      <w:pPr>
        <w:pStyle w:val="FirstParagraph"/>
      </w:pPr>
      <w:r>
        <w:t xml:space="preserve">Cuando la brecha entrañe alto riesgo para los derechos y libertades de las personas, se notifica directamente a los afectados sin dilación indebida, en lenguaje claro y por canal accesible. Contenido mínimo: naturaleza de la brecha, contacto del DPO, consecuencias probables, medidas adoptadas y recomendaciones para mitigar efectos.</w:t>
      </w:r>
    </w:p>
    <w:bookmarkEnd w:id="27"/>
    <w:bookmarkStart w:id="28" w:name="Xd6a734d1bf12dc26c48f7df74e5e9b0f3b53e16"/>
    <w:p>
      <w:pPr>
        <w:pStyle w:val="Heading3"/>
      </w:pPr>
      <w:r>
        <w:t xml:space="preserve">3.5 Comunicación a medios</w:t>
      </w:r>
    </w:p>
    <w:p>
      <w:pPr>
        <w:pStyle w:val="FirstParagraph"/>
      </w:pPr>
      <w:r>
        <w:t xml:space="preserve">Solo en caso de impacto público o requerimiento informativo, exclusivamente a través del portavoz designado. Mensaje preparado en consenso del Comité de Continuidad. Tono profesional, transparencia sobre lo conocido, evitar especulación y datos no confirmados.</w:t>
      </w:r>
    </w:p>
    <w:bookmarkEnd w:id="28"/>
    <w:bookmarkEnd w:id="29"/>
    <w:bookmarkStart w:id="33" w:name="X428599cd2ded31a6e3694b74036315426f33b39"/>
    <w:p>
      <w:pPr>
        <w:pStyle w:val="Heading2"/>
      </w:pPr>
      <w:r>
        <w:t xml:space="preserve">4. CANALES DE COMUNICACIÓN</w:t>
      </w:r>
    </w:p>
    <w:bookmarkStart w:id="30" w:name="X2a3971da501b7978521f5691e1d6114a4bdc168"/>
    <w:p>
      <w:pPr>
        <w:pStyle w:val="Heading3"/>
      </w:pPr>
      <w:r>
        <w:t xml:space="preserve">4.1 Canales corporativos habituales</w:t>
      </w:r>
    </w:p>
    <w:p>
      <w:pPr>
        <w:numPr>
          <w:ilvl w:val="0"/>
          <w:numId w:val="1003"/>
        </w:numPr>
        <w:pStyle w:val="Compact"/>
      </w:pPr>
      <w:r>
        <w:t xml:space="preserve">Correo electrónico corporativo.</w:t>
      </w:r>
    </w:p>
    <w:p>
      <w:pPr>
        <w:numPr>
          <w:ilvl w:val="0"/>
          <w:numId w:val="1003"/>
        </w:numPr>
        <w:pStyle w:val="Compact"/>
      </w:pPr>
      <w:r>
        <w:t xml:space="preserve">Intranet y herramientas internas de mensajería.</w:t>
      </w:r>
    </w:p>
    <w:p>
      <w:pPr>
        <w:numPr>
          <w:ilvl w:val="0"/>
          <w:numId w:val="1003"/>
        </w:numPr>
        <w:pStyle w:val="Compact"/>
      </w:pPr>
      <w:r>
        <w:t xml:space="preserve">Web pública y portal de cliente.</w:t>
      </w:r>
    </w:p>
    <w:p>
      <w:pPr>
        <w:numPr>
          <w:ilvl w:val="0"/>
          <w:numId w:val="1003"/>
        </w:numPr>
        <w:pStyle w:val="Compact"/>
      </w:pPr>
      <w:r>
        <w:t xml:space="preserve">Teléfono directo y centralita.</w:t>
      </w:r>
    </w:p>
    <w:bookmarkEnd w:id="30"/>
    <w:bookmarkStart w:id="31" w:name="Xdb89a855258e0644b51fd189ae21ea5db8a6a37"/>
    <w:p>
      <w:pPr>
        <w:pStyle w:val="Heading3"/>
      </w:pPr>
      <w:r>
        <w:t xml:space="preserve">4.2 Canales alternativos en caso de caída de los primarios</w:t>
      </w:r>
    </w:p>
    <w:p>
      <w:pPr>
        <w:numPr>
          <w:ilvl w:val="0"/>
          <w:numId w:val="1004"/>
        </w:numPr>
        <w:pStyle w:val="Compact"/>
      </w:pPr>
      <w:r>
        <w:t xml:space="preserve">Lista de teléfonos móviles personales del personal clave (consentimiento previo documentado).</w:t>
      </w:r>
    </w:p>
    <w:p>
      <w:pPr>
        <w:numPr>
          <w:ilvl w:val="0"/>
          <w:numId w:val="1004"/>
        </w:numPr>
        <w:pStyle w:val="Compact"/>
      </w:pPr>
      <w:r>
        <w:t xml:space="preserve">Grupo de mensajería de emergencia en aplicación móvil acordada (con respaldo en aplicación alternativa).</w:t>
      </w:r>
    </w:p>
    <w:p>
      <w:pPr>
        <w:numPr>
          <w:ilvl w:val="0"/>
          <w:numId w:val="1004"/>
        </w:numPr>
        <w:pStyle w:val="Compact"/>
      </w:pPr>
      <w:r>
        <w:t xml:space="preserve">Web pública de respaldo en CDN externo.</w:t>
      </w:r>
    </w:p>
    <w:p>
      <w:pPr>
        <w:numPr>
          <w:ilvl w:val="0"/>
          <w:numId w:val="1004"/>
        </w:numPr>
        <w:pStyle w:val="Compact"/>
      </w:pPr>
      <w:r>
        <w:t xml:space="preserve">Cuentas oficiales en redes sociales con acceso pre-aprobado.</w:t>
      </w:r>
    </w:p>
    <w:bookmarkEnd w:id="31"/>
    <w:bookmarkStart w:id="32" w:name="Xb328bca19dd22a65f7decb5c45299179a4cbc8d"/>
    <w:p>
      <w:pPr>
        <w:pStyle w:val="Heading3"/>
      </w:pPr>
      <w:r>
        <w:t xml:space="preserve">4.3 Política de redes sociales en crisis</w:t>
      </w:r>
    </w:p>
    <w:p>
      <w:pPr>
        <w:pStyle w:val="FirstParagraph"/>
      </w:pPr>
      <w:r>
        <w:t xml:space="preserve">Durante una crisis, la comunicación en redes sociales se ejecuta exclusivamente desde cuentas oficiales y por el portavoz designado o por personal expresamente autorizado por el Comité de Continuidad. El resto del personal se abstiene de publicar contenido relacionado con la crisis.</w:t>
      </w:r>
    </w:p>
    <w:bookmarkEnd w:id="32"/>
    <w:bookmarkEnd w:id="33"/>
    <w:bookmarkStart w:id="34" w:name="Xf07b96654a4f21c53c7ab832b53825e179e22d2"/>
    <w:p>
      <w:pPr>
        <w:pStyle w:val="Heading2"/>
      </w:pPr>
      <w:r>
        <w:t xml:space="preserve">5. PORTAVOCES AUTORIZADOS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pv in portavoces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pv.funcion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pv.titular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pv.suplente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t xml:space="preserve">Los portavoces reciben formación específica en gestión de comunicación en crisis con periodicidad mínima anual.</w:t>
      </w:r>
    </w:p>
    <w:bookmarkEnd w:id="34"/>
    <w:bookmarkStart w:id="35" w:name="X696c5455a9c97d649e513eeb514d106e300ef1d"/>
    <w:p>
      <w:pPr>
        <w:pStyle w:val="Heading2"/>
      </w:pPr>
      <w:r>
        <w:t xml:space="preserve">6. PROTOCOLO DE ESCALADO INTERNO</w:t>
      </w:r>
    </w:p>
    <w:p>
      <w:pPr>
        <w:numPr>
          <w:ilvl w:val="0"/>
          <w:numId w:val="1005"/>
        </w:numPr>
        <w:pStyle w:val="Compact"/>
      </w:pPr>
      <w:r>
        <w:t xml:space="preserve">Cualquier empleado que detecte un evento significativo notifica a su responsable directo o a {{ responsables.responsable_seguridad.nombre }} a través de los canales definidos.</w:t>
      </w:r>
    </w:p>
    <w:p>
      <w:pPr>
        <w:numPr>
          <w:ilvl w:val="0"/>
          <w:numId w:val="1005"/>
        </w:numPr>
        <w:pStyle w:val="Compact"/>
      </w:pPr>
      <w:r>
        <w:t xml:space="preserve">El responsable de seguridad evalúa el evento y activa, si procede, al Comité de Continuidad.</w:t>
      </w:r>
    </w:p>
    <w:p>
      <w:pPr>
        <w:numPr>
          <w:ilvl w:val="0"/>
          <w:numId w:val="1005"/>
        </w:numPr>
        <w:pStyle w:val="Compact"/>
      </w:pPr>
      <w:r>
        <w:t xml:space="preserve">El Comité decide el nivel de comunicación necesario (interno, clientes, autoridades, público) y autoriza los mensajes.</w:t>
      </w:r>
    </w:p>
    <w:p>
      <w:pPr>
        <w:numPr>
          <w:ilvl w:val="0"/>
          <w:numId w:val="1005"/>
        </w:numPr>
        <w:pStyle w:val="Compact"/>
      </w:pPr>
      <w:r>
        <w:t xml:space="preserve">El portavoz designado ejecuta la comunicación conforme a las plantillas y canales.</w:t>
      </w:r>
    </w:p>
    <w:bookmarkEnd w:id="35"/>
    <w:bookmarkStart w:id="36" w:name="X2a369dd7d0dc7f09eae1de2c73df621349ac817"/>
    <w:p>
      <w:pPr>
        <w:pStyle w:val="Heading2"/>
      </w:pPr>
      <w:r>
        <w:t xml:space="preserve">7. NOTIFICACIONES OBLIGATORIAS A AUTORIDADES</w:t>
      </w:r>
    </w:p>
    <w:p>
      <w:pPr>
        <w:pStyle w:val="FirstParagraph"/>
      </w:pPr>
      <w:r>
        <w:t xml:space="preserve">Autoridades aplicables a la Entidad según su naturaleza y sector:</w:t>
      </w:r>
    </w:p>
    <w:p>
      <w:pPr>
        <w:pStyle w:val="BodyText"/>
      </w:pPr>
      <w:r>
        <w:t xml:space="preserve">{% for aut in autoridades_aplicables %}-</w:t>
      </w:r>
      <w:r>
        <w:t xml:space="preserve"> </w:t>
      </w:r>
      <w:r>
        <w:rPr>
          <w:bCs/>
          <w:b/>
        </w:rPr>
        <w:t xml:space="preserve">{{ aut.nombre }}</w:t>
      </w:r>
      <w:r>
        <w:t xml:space="preserve"> </w:t>
      </w:r>
      <w:r>
        <w:t xml:space="preserve">({{ aut.regulacion }}): {{ aut.cuando }}. Canal: {{ aut.canal }}. Plazo: {{ aut.plazo }}.</w:t>
      </w:r>
      <w:r>
        <w:t xml:space="preserve"> </w:t>
      </w:r>
      <w:r>
        <w:t xml:space="preserve">{% endfor %}</w:t>
      </w:r>
    </w:p>
    <w:bookmarkEnd w:id="36"/>
    <w:bookmarkStart w:id="37" w:name="Xfde42e425fdd5bee88119a60aa2bb5d50a68628"/>
    <w:p>
      <w:pPr>
        <w:pStyle w:val="Heading2"/>
      </w:pPr>
      <w:r>
        <w:t xml:space="preserve">8. COMUNICACIÓN POST-CRISIS</w:t>
      </w:r>
    </w:p>
    <w:p>
      <w:pPr>
        <w:pStyle w:val="FirstParagraph"/>
      </w:pPr>
      <w:r>
        <w:t xml:space="preserve">Una vez declarado el fin de la activación, se ejecutan las siguientes acciones de comunicación: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Lecciones aprendidas</w:t>
      </w:r>
      <w:r>
        <w:t xml:space="preserve">: comunicación interna del resumen del incidente y de las mejoras identificadas.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Informe ejecutivo</w:t>
      </w:r>
      <w:r>
        <w:t xml:space="preserve">: documento dirigido al órgano de gobierno con cronología, impacto, decisiones tomadas y eficacia de la respuesta.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Comunicación a clientes</w:t>
      </w:r>
      <w:r>
        <w:t xml:space="preserve">: cierre formal cuando proceda, agradecimiento por la paciencia y resumen de medidas adoptadas para evitar recurrencia.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Comunicación a autoridades</w:t>
      </w:r>
      <w:r>
        <w:t xml:space="preserve">: informe final si así lo requieren los plazos NIS2/DORA.</w:t>
      </w:r>
    </w:p>
    <w:bookmarkEnd w:id="37"/>
    <w:bookmarkStart w:id="38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2026-05-17T19:05:49Z</dcterms:created>
  <dcterms:modified xsi:type="dcterms:W3CDTF">2026-05-17T19:05:49Z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