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8fa48f48a7475f4c3892c7e8a7922d7fd21216c"/>
    <w:p>
      <w:pPr>
        <w:pStyle w:val="Heading1"/>
      </w:pPr>
      <w:r>
        <w:t xml:space="preserve">PLAN DE PRUEBAS DE CONTINUIDAD DE {{ cliente.razon_social|upper }}</w:t>
      </w:r>
    </w:p>
    <w:p>
      <w:pPr>
        <w:pStyle w:val="FirstParagraph"/>
      </w:pPr>
      <w:r>
        <w:t xml:space="preserve">Documento {{ proyecto.codigo_documento_base }}-405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Plan de Pruebas de Continuidad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Plan establece el calendario, los tipos, los criterios de éxito, los participantes y la documentación de los ejercicios de prueba que validan la eficacia del Plan de Continuidad del Negocio (E-402 BCP) y del Plan de Recuperación de Desastres TIC (E-403 DRP) de {{ cliente.razon_social }}, en cumplimiento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(RD 311/2022, medida</w:t>
      </w:r>
      <w:r>
        <w:t xml:space="preserve"> </w:t>
      </w:r>
      <w:r>
        <w:rPr>
          <w:bCs/>
          <w:b/>
        </w:rPr>
        <w:t xml:space="preserve">op.cont.4 Medios alternativos</w:t>
      </w:r>
      <w:r>
        <w:t xml:space="preserve">, en su requerimiento de pruebas periódicas).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UNE-ISO 22301:2020</w:t>
      </w:r>
      <w:r>
        <w:t xml:space="preserve"> </w:t>
      </w:r>
      <w:r>
        <w:t xml:space="preserve">Cláusula 8.5 (Ejercicios y pruebas).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DORA Art. 24</w:t>
      </w:r>
      <w:r>
        <w:t xml:space="preserve"> </w:t>
      </w:r>
      <w:r>
        <w:t xml:space="preserve">(Programa de pruebas de resiliencia operativa digital) si aplica al sector financiero.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NIS2</w:t>
      </w:r>
      <w:r>
        <w:t xml:space="preserve"> </w:t>
      </w:r>
      <w:r>
        <w:t xml:space="preserve">(Medidas de gestión de riesgos · pruebas periódicas).</w:t>
      </w:r>
    </w:p>
    <w:bookmarkEnd w:id="22"/>
    <w:bookmarkStart w:id="23" w:name="Xab58c6ffd49256345b1431604f76e557209fd09"/>
    <w:p>
      <w:pPr>
        <w:pStyle w:val="Heading2"/>
      </w:pPr>
      <w:r>
        <w:t xml:space="preserve">2. CALENDARIO ANUAL DE EJERCICIOS</w:t>
      </w:r>
    </w:p>
    <w:p>
      <w:pPr>
        <w:pStyle w:val="FirstParagraph"/>
      </w:pPr>
      <w:r>
        <w:t xml:space="preserve">El programa anual de pruebas contempla, como mínimo, los siguientes ejercicios: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Trimestre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ENS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Tabletop 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 (2/año)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+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Tabletop DRP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técnico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o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completa de restauración desde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parcial de restauración granular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Simulacro de phishing (vinculado al LMS)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 o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Calendario LMS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B/M/A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TLPT / Red Team (Threat-Led Penetration Testing)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3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plurianual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(o DORA significativa)</w:t>
            </w:r>
          </w:p>
        </w:tc>
      </w:tr>
    </w:tbl>
    <w:p>
      <w:pPr>
        <w:pStyle w:val="BodyText"/>
      </w:pPr>
      <w:r>
        <w:t xml:space="preserve">El calendario detallado del ejercicio se planifica en el cuarto trimestre del año anterior y se aprueba por {{ cliente.organo_aprobador_politicas }}.</w:t>
      </w:r>
    </w:p>
    <w:bookmarkEnd w:id="23"/>
    <w:bookmarkStart w:id="29" w:name="Xa55b02290c907f9328a67eec0d9abe86ee611d9"/>
    <w:p>
      <w:pPr>
        <w:pStyle w:val="Heading2"/>
      </w:pPr>
      <w:r>
        <w:t xml:space="preserve">3. TIPOS DE PRUEBAS · DESCRIPCIÓN</w:t>
      </w:r>
    </w:p>
    <w:bookmarkStart w:id="24" w:name="X61bea1c4d44ea1a225dfad17d3513f3c7f4a3a5"/>
    <w:p>
      <w:pPr>
        <w:pStyle w:val="Heading3"/>
      </w:pPr>
      <w:r>
        <w:t xml:space="preserve">3.1 Tabletop (escritorio)</w:t>
      </w:r>
    </w:p>
    <w:p>
      <w:pPr>
        <w:pStyle w:val="FirstParagraph"/>
      </w:pPr>
      <w:r>
        <w:rPr>
          <w:bCs/>
          <w:b/>
        </w:rPr>
        <w:t xml:space="preserve">Descripción</w:t>
      </w:r>
      <w:r>
        <w:t xml:space="preserve">: ejercicio sin impacto operativo en el que los participantes analizan un escenario hipotético y discuten las acciones que ejecutarían.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validar que los participantes conocen sus responsabilidades, los procedimientos y los recursos disponibles.</w:t>
      </w:r>
    </w:p>
    <w:p>
      <w:pPr>
        <w:pStyle w:val="BodyText"/>
      </w:pPr>
      <w:r>
        <w:rPr>
          <w:bCs/>
          <w:b/>
        </w:rPr>
        <w:t xml:space="preserve">Duración</w:t>
      </w:r>
      <w:r>
        <w:t xml:space="preserve">: 2-4 horas.</w:t>
      </w:r>
    </w:p>
    <w:p>
      <w:pPr>
        <w:pStyle w:val="BodyText"/>
      </w:pPr>
      <w:r>
        <w:rPr>
          <w:bCs/>
          <w:b/>
        </w:rPr>
        <w:t xml:space="preserve">Participantes</w:t>
      </w:r>
      <w:r>
        <w:t xml:space="preserve">: Comité de Continuidad + coordinadores BCP/DRP/Operaciones/Comunicación.</w:t>
      </w:r>
    </w:p>
    <w:bookmarkEnd w:id="24"/>
    <w:bookmarkStart w:id="25" w:name="Xc2385a863b5ddd134c14e96af6d795427a9b378"/>
    <w:p>
      <w:pPr>
        <w:pStyle w:val="Heading3"/>
      </w:pPr>
      <w:r>
        <w:t xml:space="preserve">3.2 Simulacro técnico de failover</w:t>
      </w:r>
    </w:p>
    <w:p>
      <w:pPr>
        <w:pStyle w:val="FirstParagraph"/>
      </w:pPr>
      <w:r>
        <w:rPr>
          <w:bCs/>
          <w:b/>
        </w:rPr>
        <w:t xml:space="preserve">Descripción</w:t>
      </w:r>
      <w:r>
        <w:t xml:space="preserve">: ejecución real de un failover sobre un componente o sistema crítico, ya sea en producción (con ventana planificada) o en entorno equivalente aislado.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validar que la arquitectura de recuperación funciona conforme a lo diseñado y que el RTO técnico es alcanzable.</w:t>
      </w:r>
    </w:p>
    <w:p>
      <w:pPr>
        <w:pStyle w:val="BodyText"/>
      </w:pPr>
      <w:r>
        <w:rPr>
          <w:bCs/>
          <w:b/>
        </w:rPr>
        <w:t xml:space="preserve">Duración</w:t>
      </w:r>
      <w:r>
        <w:t xml:space="preserve">: variable según sistema (típicamente entre 4 y 24 horas).</w:t>
      </w:r>
    </w:p>
    <w:p>
      <w:pPr>
        <w:pStyle w:val="BodyText"/>
      </w:pPr>
      <w:r>
        <w:rPr>
          <w:bCs/>
          <w:b/>
        </w:rPr>
        <w:t xml:space="preserve">Participantes</w:t>
      </w:r>
      <w:r>
        <w:t xml:space="preserve">: equipo TIC, coordinador DRP, observadores designados.</w:t>
      </w:r>
    </w:p>
    <w:bookmarkEnd w:id="25"/>
    <w:bookmarkStart w:id="26" w:name="X181bf865a27e5d389d7e6c028b75e76a7e0d96d"/>
    <w:p>
      <w:pPr>
        <w:pStyle w:val="Heading3"/>
      </w:pPr>
      <w:r>
        <w:t xml:space="preserve">3.3 Prueba de restauración desde backup</w:t>
      </w:r>
    </w:p>
    <w:p>
      <w:pPr>
        <w:pStyle w:val="FirstParagraph"/>
      </w:pPr>
      <w:r>
        <w:rPr>
          <w:bCs/>
          <w:b/>
        </w:rPr>
        <w:t xml:space="preserve">Descripción</w:t>
      </w:r>
      <w:r>
        <w:t xml:space="preserve">: restauración real desde copia de seguridad en un entorno aislado, con validación de integridad de los datos.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validar la calidad del backup, el procedimiento de restauración y la consistencia de los datos.</w:t>
      </w:r>
    </w:p>
    <w:p>
      <w:pPr>
        <w:pStyle w:val="BodyText"/>
      </w:pPr>
      <w:r>
        <w:rPr>
          <w:bCs/>
          <w:b/>
        </w:rPr>
        <w:t xml:space="preserve">Duración</w:t>
      </w:r>
      <w:r>
        <w:t xml:space="preserve">: variable (típicamente entre 2 y 12 horas).</w:t>
      </w:r>
    </w:p>
    <w:p>
      <w:pPr>
        <w:pStyle w:val="BodyText"/>
      </w:pPr>
      <w:r>
        <w:rPr>
          <w:bCs/>
          <w:b/>
        </w:rPr>
        <w:t xml:space="preserve">Participantes</w:t>
      </w:r>
      <w:r>
        <w:t xml:space="preserve">: equipo de operación TIC + propietario funcional del dato cuando aplique.</w:t>
      </w:r>
    </w:p>
    <w:bookmarkEnd w:id="26"/>
    <w:bookmarkStart w:id="27" w:name="Xecfb775efd36cbf05b5d7cfeab589ea789dee0c"/>
    <w:p>
      <w:pPr>
        <w:pStyle w:val="Heading3"/>
      </w:pPr>
      <w:r>
        <w:t xml:space="preserve">3.4 Simulacro de phishing</w:t>
      </w:r>
    </w:p>
    <w:p>
      <w:pPr>
        <w:pStyle w:val="FirstParagraph"/>
      </w:pPr>
      <w:r>
        <w:rPr>
          <w:bCs/>
          <w:b/>
        </w:rPr>
        <w:t xml:space="preserve">Descripción</w:t>
      </w:r>
      <w:r>
        <w:t xml:space="preserve">: envío controlado de un correo simulado de phishing a un grupo o a la totalidad del personal.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medir el nivel de concienciación y la eficacia de la formación impartida.</w:t>
      </w:r>
    </w:p>
    <w:p>
      <w:pPr>
        <w:pStyle w:val="BodyText"/>
      </w:pPr>
      <w:r>
        <w:rPr>
          <w:bCs/>
          <w:b/>
        </w:rPr>
        <w:t xml:space="preserve">Duración</w:t>
      </w:r>
      <w:r>
        <w:t xml:space="preserve">: campaña típicamente de 7-14 días con seguimiento de métricas.</w:t>
      </w:r>
    </w:p>
    <w:p>
      <w:pPr>
        <w:pStyle w:val="BodyText"/>
      </w:pPr>
      <w:r>
        <w:rPr>
          <w:bCs/>
          <w:b/>
        </w:rPr>
        <w:t xml:space="preserve">Participantes</w:t>
      </w:r>
      <w:r>
        <w:t xml:space="preserve">: gestionado desde el LMS conforme a la política E-103 + E-105.</w:t>
      </w:r>
    </w:p>
    <w:bookmarkEnd w:id="27"/>
    <w:bookmarkStart w:id="28" w:name="Xfdc57e998010527d87c76367b410d0627cf9532"/>
    <w:p>
      <w:pPr>
        <w:pStyle w:val="Heading3"/>
      </w:pPr>
      <w:r>
        <w:t xml:space="preserve">3.5 TLPT / Red Team</w:t>
      </w:r>
    </w:p>
    <w:p>
      <w:pPr>
        <w:pStyle w:val="FirstParagraph"/>
      </w:pPr>
      <w:r>
        <w:rPr>
          <w:bCs/>
          <w:b/>
        </w:rPr>
        <w:t xml:space="preserve">Descripción</w:t>
      </w:r>
      <w:r>
        <w:t xml:space="preserve">: ejercicio de pentest dirigido por inteligencia de amenazas, ejecutado por un proveedor externo cualificado.</w:t>
      </w:r>
    </w:p>
    <w:p>
      <w:pPr>
        <w:pStyle w:val="BodyText"/>
      </w:pPr>
      <w:r>
        <w:rPr>
          <w:bCs/>
          <w:b/>
        </w:rPr>
        <w:t xml:space="preserve">Objetivo</w:t>
      </w:r>
      <w:r>
        <w:t xml:space="preserve">: medir la resiliencia ante un adversario con tácticas, técnicas y procedimientos realistas (TTPs).</w:t>
      </w:r>
    </w:p>
    <w:p>
      <w:pPr>
        <w:pStyle w:val="BodyText"/>
      </w:pPr>
      <w:r>
        <w:rPr>
          <w:bCs/>
          <w:b/>
        </w:rPr>
        <w:t xml:space="preserve">Frecuencia</w:t>
      </w:r>
      <w:r>
        <w:t xml:space="preserve">: cada 3 años en categoría ALTA o cuando lo exija DORA en entidades financieras significativas.</w:t>
      </w:r>
    </w:p>
    <w:bookmarkEnd w:id="28"/>
    <w:bookmarkEnd w:id="29"/>
    <w:bookmarkStart w:id="30" w:name="Xb38dc5dc4fc8e6b0c7f589ab093890fb15f4116"/>
    <w:p>
      <w:pPr>
        <w:pStyle w:val="Heading2"/>
      </w:pPr>
      <w:r>
        <w:t xml:space="preserve">4. CRITERIOS DE ÉXITO</w:t>
      </w:r>
    </w:p>
    <w:p>
      <w:pPr>
        <w:pStyle w:val="FirstParagraph"/>
      </w:pPr>
      <w:r>
        <w:t xml:space="preserve">Cada ejercicio define previamente sus criterios de éxito, alineados con los objetivos definidos en el BIA. Indicadores típicos: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RTO real ≤ RTO objetivo</w:t>
      </w:r>
      <w:r>
        <w:t xml:space="preserve"> </w:t>
      </w:r>
      <w:r>
        <w:t xml:space="preserve">para el componente o proceso ejercitado.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RPO real ≤ RPO objetivo</w:t>
      </w:r>
      <w:r>
        <w:t xml:space="preserve"> </w:t>
      </w:r>
      <w:r>
        <w:t xml:space="preserve">medido en el ejercicio.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Porcentaje de checklist completado</w:t>
      </w:r>
      <w:r>
        <w:t xml:space="preserve">: ≥ 90% considerado éxito.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Participación</w:t>
      </w:r>
      <w:r>
        <w:t xml:space="preserve">: ≥ 90% de los asistentes convocados.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Detección de gaps</w:t>
      </w:r>
      <w:r>
        <w:t xml:space="preserve">: cualquier ejercicio que detecte gaps significativos es valioso por aprendizaje, aunque no cumpla otros indicadores.</w:t>
      </w:r>
    </w:p>
    <w:bookmarkEnd w:id="30"/>
    <w:bookmarkStart w:id="31" w:name="Xcc8609d059b24deedeaae77e52edc0c16d8f727"/>
    <w:p>
      <w:pPr>
        <w:pStyle w:val="Heading2"/>
      </w:pPr>
      <w:r>
        <w:t xml:space="preserve">5. ROLES EN LAS PRUEBAS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Facilitador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Diseña el escenario, conduce el ejercicio, mantiene el ritmo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Toman notas objetivas del comportamiento, las decisiones y los tiempos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Participantes 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Ejecutan los procedimientos como lo harían en una crisis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Coordinador post-mortem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 la sesión de lecciones aprendidas y redacta el informe E-406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Patrocinador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Aprueba el ejercicio y respalda la asignación de recursos</w:t>
            </w:r>
          </w:p>
        </w:tc>
      </w:tr>
    </w:tbl>
    <w:bookmarkEnd w:id="31"/>
    <w:bookmarkStart w:id="32" w:name="X8f71e9792de16ed2b7213b04f17a1f0179d909d"/>
    <w:p>
      <w:pPr>
        <w:pStyle w:val="Heading2"/>
      </w:pPr>
      <w:r>
        <w:t xml:space="preserve">6. RECURSOS REQUERIDOS</w:t>
      </w:r>
    </w:p>
    <w:p>
      <w:pPr>
        <w:pStyle w:val="FirstParagraph"/>
      </w:pPr>
      <w:r>
        <w:t xml:space="preserve">Para cada ejercicio se planifican los recursos necesarios: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Recursos técnicos</w:t>
      </w:r>
      <w:r>
        <w:t xml:space="preserve">: entornos aislados, capacidad de cómputo, ventanas de mantenimiento, herramientas de monitorización.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Recursos humanos</w:t>
      </w:r>
      <w:r>
        <w:t xml:space="preserve">: liberación de los participantes durante la duración del ejercicio, formación previa cuando aplique.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Recursos financieros</w:t>
      </w:r>
      <w:r>
        <w:t xml:space="preserve">: presupuesto asignado dentro de la partida anual de continuidad.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Recursos documentales</w:t>
      </w:r>
      <w:r>
        <w:t xml:space="preserve">: runbooks, BIA, BCP, DRP accesibles a los participantes durante el ejercicio.</w:t>
      </w:r>
    </w:p>
    <w:bookmarkEnd w:id="32"/>
    <w:bookmarkStart w:id="33" w:name="X6de9bb1a26adcd0f3c5769b160df86c5330ccb7"/>
    <w:p>
      <w:pPr>
        <w:pStyle w:val="Heading2"/>
      </w:pPr>
      <w:r>
        <w:t xml:space="preserve">7. CAPTURA DE EVIDENCIAS</w:t>
      </w:r>
    </w:p>
    <w:p>
      <w:pPr>
        <w:pStyle w:val="FirstParagraph"/>
      </w:pPr>
      <w:r>
        <w:t xml:space="preserve">Durante el ejercicio se capturan: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Logs técnicos</w:t>
      </w:r>
      <w:r>
        <w:t xml:space="preserve">: del sistema bajo prueba, del SIEM, de los sistemas de monitorización.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Capturas de pantalla</w:t>
      </w:r>
      <w:r>
        <w:t xml:space="preserve"> </w:t>
      </w:r>
      <w:r>
        <w:t xml:space="preserve">de los pasos clave.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Cronología detallada</w:t>
      </w:r>
      <w:r>
        <w:t xml:space="preserve"> </w:t>
      </w:r>
      <w:r>
        <w:t xml:space="preserve">con timestamps de cada decisión y acción.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Hoja de asistencia</w:t>
      </w:r>
      <w:r>
        <w:t xml:space="preserve"> </w:t>
      </w:r>
      <w:r>
        <w:t xml:space="preserve">firmada por los participantes.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Observaciones cualitativas</w:t>
      </w:r>
      <w:r>
        <w:t xml:space="preserve"> </w:t>
      </w:r>
      <w:r>
        <w:t xml:space="preserve">de los observadores designados.</w:t>
      </w:r>
    </w:p>
    <w:p>
      <w:pPr>
        <w:pStyle w:val="FirstParagraph"/>
      </w:pPr>
      <w:r>
        <w:t xml:space="preserve">Toda la documentación se conserva en el repositorio de evidencias del BCMS conforme a la política documental.</w:t>
      </w:r>
    </w:p>
    <w:bookmarkEnd w:id="33"/>
    <w:bookmarkStart w:id="34" w:name="Xbd58b7e08dd57863cb6b9b2138c6af0cf6fec6e"/>
    <w:p>
      <w:pPr>
        <w:pStyle w:val="Heading2"/>
      </w:pPr>
      <w:r>
        <w:t xml:space="preserve">8. APROVECHAMIENTO DE RESULTADOS</w:t>
      </w:r>
    </w:p>
    <w:p>
      <w:pPr>
        <w:pStyle w:val="FirstParagraph"/>
      </w:pPr>
      <w:r>
        <w:t xml:space="preserve">Los resultados de cada ejercicio se documentan en un</w:t>
      </w:r>
      <w:r>
        <w:t xml:space="preserve"> </w:t>
      </w:r>
      <w:r>
        <w:rPr>
          <w:bCs/>
          <w:b/>
        </w:rPr>
        <w:t xml:space="preserve">Informe de Pruebas (E-406)</w:t>
      </w:r>
      <w:r>
        <w:t xml:space="preserve"> </w:t>
      </w:r>
      <w:r>
        <w:t xml:space="preserve">que incluye los gaps detectados y un plan de acción correctivo con responsable y plazo.</w:t>
      </w:r>
    </w:p>
    <w:p>
      <w:pPr>
        <w:pStyle w:val="BodyText"/>
      </w:pPr>
      <w:r>
        <w:t xml:space="preserve">Los gaps se incorporan al</w:t>
      </w:r>
      <w:r>
        <w:t xml:space="preserve"> </w:t>
      </w:r>
      <w:r>
        <w:rPr>
          <w:bCs/>
          <w:b/>
        </w:rPr>
        <w:t xml:space="preserve">registro de no conformidades</w:t>
      </w:r>
      <w:r>
        <w:t xml:space="preserve"> </w:t>
      </w:r>
      <w:r>
        <w:t xml:space="preserve">del SGSI y son objeto de seguimiento hasta su cierre. Los gaps no cerrados se reportan al Comité de Seguridad y a {{ cliente.organo_aprobador_politicas }}.</w:t>
      </w:r>
    </w:p>
    <w:p>
      <w:pPr>
        <w:pStyle w:val="BodyText"/>
      </w:pPr>
      <w:r>
        <w:t xml:space="preserve">Los aprendizajes alimentan la revisión anual del BIA, BCP, DRP y de las estrategias E-401.</w:t>
      </w:r>
    </w:p>
    <w:bookmarkEnd w:id="34"/>
    <w:bookmarkStart w:id="35" w:name="Xca5f9abe65a1d8023689d85e5b46bf7363fac81"/>
    <w:p>
      <w:pPr>
        <w:pStyle w:val="Heading2"/>
      </w:pPr>
      <w:r>
        <w:t xml:space="preserve">9. COMUNICACIÓN PREVIA AL EJERCICIO</w:t>
      </w:r>
    </w:p>
    <w:p>
      <w:pPr>
        <w:pStyle w:val="FirstParagraph"/>
      </w:pPr>
      <w:r>
        <w:t xml:space="preserve">Salvo en simulacros de phishing (cuya eficacia depende del factor sorpresa para el participante), todos los ejercicios se comunican con antelación a los participantes con la siguiente información:</w:t>
      </w:r>
    </w:p>
    <w:p>
      <w:pPr>
        <w:numPr>
          <w:ilvl w:val="0"/>
          <w:numId w:val="1005"/>
        </w:numPr>
        <w:pStyle w:val="Compact"/>
      </w:pPr>
      <w:r>
        <w:t xml:space="preserve">Fecha y duración del ejercicio.</w:t>
      </w:r>
    </w:p>
    <w:p>
      <w:pPr>
        <w:numPr>
          <w:ilvl w:val="0"/>
          <w:numId w:val="1005"/>
        </w:numPr>
        <w:pStyle w:val="Compact"/>
      </w:pPr>
      <w:r>
        <w:t xml:space="preserve">Tipo de prueba y alcance.</w:t>
      </w:r>
    </w:p>
    <w:p>
      <w:pPr>
        <w:numPr>
          <w:ilvl w:val="0"/>
          <w:numId w:val="1005"/>
        </w:numPr>
        <w:pStyle w:val="Compact"/>
      </w:pPr>
      <w:r>
        <w:t xml:space="preserve">Participantes convocados.</w:t>
      </w:r>
    </w:p>
    <w:p>
      <w:pPr>
        <w:numPr>
          <w:ilvl w:val="0"/>
          <w:numId w:val="1005"/>
        </w:numPr>
        <w:pStyle w:val="Compact"/>
      </w:pPr>
      <w:r>
        <w:t xml:space="preserve">Objetivos generales.</w:t>
      </w:r>
    </w:p>
    <w:p>
      <w:pPr>
        <w:pStyle w:val="FirstParagraph"/>
      </w:pPr>
      <w:r>
        <w:rPr>
          <w:bCs/>
          <w:b/>
        </w:rPr>
        <w:t xml:space="preserve">No se comunica</w:t>
      </w:r>
      <w:r>
        <w:t xml:space="preserve"> </w:t>
      </w:r>
      <w:r>
        <w:t xml:space="preserve">el escenario específico, las inyecciones que se introducirán durante el ejercicio, ni las decisiones que se evalúan, para preservar la capacidad de medir la reacción real.</w:t>
      </w:r>
    </w:p>
    <w:bookmarkEnd w:id="35"/>
    <w:bookmarkStart w:id="36" w:name="Xafd0b05835576da3ad0c7e4e8240ebb3b0ca20e"/>
    <w:p>
      <w:pPr>
        <w:pStyle w:val="Heading2"/>
      </w:pPr>
      <w:r>
        <w:t xml:space="preserve">10. CALENDARIO PLANIFICADO PARA EL EJERCICIO EN 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planificada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ej in ejercicios_planificados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ej.tipo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ej.responsable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6"/>
    <w:bookmarkStart w:id="37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2026-05-17T19:05:49Z</dcterms:created>
  <dcterms:modified xsi:type="dcterms:W3CDTF">2026-05-17T19:05:49Z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