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-603--plan-de-supervisión-de-proveedor"/>
    <w:p>
      <w:pPr>
        <w:pStyle w:val="Heading1"/>
      </w:pPr>
      <w:r>
        <w:t xml:space="preserve">E-603 · PLAN DE SUPERVISIÓN DE PROVEEDOR</w:t>
      </w:r>
    </w:p>
    <w:p>
      <w:pPr>
        <w:pStyle w:val="FirstParagraph"/>
      </w:pPr>
      <w:r>
        <w:t xml:space="preserve">{% set codigo = documento.codigo if documento.codigo else 'E-603' %}</w:t>
      </w:r>
      <w:r>
        <w:t xml:space="preserve"> </w:t>
      </w:r>
      <w:r>
        <w:t xml:space="preserve">{% set version = documento.version if documento.version else '1.0' %}</w:t>
      </w:r>
      <w:r>
        <w:t xml:space="preserve"> </w:t>
      </w:r>
      <w:r>
        <w:t xml:space="preserve">{% set fecha_emision = documento.fecha_emision if documento.fecha_emision else '—' %}</w:t>
      </w:r>
      <w:r>
        <w:t xml:space="preserve"> </w:t>
      </w:r>
      <w:r>
        <w:t xml:space="preserve">{% set periodo_inicio = plan_supervision.periodo_inicio if plan_supervision.periodo_inicio else fecha_emision %}</w:t>
      </w:r>
      <w:r>
        <w:t xml:space="preserve"> </w:t>
      </w:r>
      <w:r>
        <w:t xml:space="preserve">{% set periodo_fin = plan_supervision.periodo_fin if plan_supervision.periodo_fin else '—' %}</w:t>
      </w:r>
      <w:r>
        <w:t xml:space="preserve"> </w:t>
      </w:r>
      <w:r>
        <w:t xml:space="preserve">{% set nivel_proveedor = proveedor.nivel_criticidad if proveedor.nivel_criticidad else 'POR DETERMINAR' %}</w:t>
      </w:r>
      <w:r>
        <w:t xml:space="preserve"> </w:t>
      </w:r>
      <w:r>
        <w:t xml:space="preserve">{% set responsable_nombre = plan_supervision.responsable.nombre if plan_supervision.responsable and plan_supervision.responsable.nombre else cliente.responsable_seguridad.nombre if cliente.responsable_seguridad else '—' %}</w:t>
      </w:r>
      <w:r>
        <w:t xml:space="preserve"> </w:t>
      </w:r>
      <w:r>
        <w:t xml:space="preserve">{% set responsable_cargo = plan_supervision.responsable.cargo if plan_supervision.responsable and plan_supervision.responsable.cargo else 'Responsable de Seguridad' %}</w:t>
      </w:r>
      <w:r>
        <w:t xml:space="preserve"> </w:t>
      </w:r>
      <w:r>
        <w:t xml:space="preserve">{% set contacto_email = cliente.contacto_compliance.email if cliente.contacto_compliance and cliente.contacto_compliance.email else '—' %}</w:t>
      </w:r>
      <w:r>
        <w:t xml:space="preserve"> </w:t>
      </w:r>
      <w:r>
        <w:t xml:space="preserve">{% set notificacion_horas = plan_supervision.notificacion_horas if plan_supervision.notificacion_horas else 24 %}</w:t>
      </w:r>
    </w:p>
    <w:p>
      <w:pPr>
        <w:pStyle w:val="BodyText"/>
      </w:pPr>
      <w:r>
        <w:rPr>
          <w:bCs/>
          <w:b/>
        </w:rPr>
        <w:t xml:space="preserve">Documento:</w:t>
      </w:r>
      <w:r>
        <w:t xml:space="preserve"> </w:t>
      </w:r>
      <w:r>
        <w:t xml:space="preserve">{{ codigo }}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{{ version }}</w:t>
      </w:r>
      <w:r>
        <w:t xml:space="preserve"> </w:t>
      </w:r>
      <w:r>
        <w:rPr>
          <w:bCs/>
          <w:b/>
        </w:rPr>
        <w:t xml:space="preserve">Fecha de emisión:</w:t>
      </w:r>
      <w:r>
        <w:t xml:space="preserve"> </w:t>
      </w:r>
      <w:r>
        <w:t xml:space="preserve">{{ fecha_emision }}</w:t>
      </w:r>
      <w:r>
        <w:t xml:space="preserve"> </w:t>
      </w:r>
      <w:r>
        <w:rPr>
          <w:bCs/>
          <w:b/>
        </w:rPr>
        <w:t xml:space="preserve">Entidad:</w:t>
      </w:r>
      <w:r>
        <w:t xml:space="preserve"> </w:t>
      </w:r>
      <w:r>
        <w:t xml:space="preserve">{{ cliente.razon_social }} ({{ cliente.nif }})</w:t>
      </w:r>
      <w:r>
        <w:t xml:space="preserve"> </w:t>
      </w:r>
      <w:r>
        <w:rPr>
          <w:bCs/>
          <w:b/>
        </w:rPr>
        <w:t xml:space="preserve">Proveedor objeto:</w:t>
      </w:r>
      <w:r>
        <w:t xml:space="preserve"> </w:t>
      </w:r>
      <w:r>
        <w:t xml:space="preserve">{{ proveedor.razon_social }} ({{ proveedor.nif }})</w:t>
      </w:r>
      <w:r>
        <w:t xml:space="preserve"> </w:t>
      </w:r>
      <w:r>
        <w:rPr>
          <w:bCs/>
          <w:b/>
        </w:rPr>
        <w:t xml:space="preserve">Servicio:</w:t>
      </w:r>
      <w:r>
        <w:t xml:space="preserve"> </w:t>
      </w:r>
      <w:r>
        <w:t xml:space="preserve">{{ proveedor.servicio_descripcion }}</w:t>
      </w:r>
      <w:r>
        <w:t xml:space="preserve"> </w:t>
      </w:r>
      <w:r>
        <w:rPr>
          <w:bCs/>
          <w:b/>
        </w:rPr>
        <w:t xml:space="preserve">Nivel de criticidad asignado:</w:t>
      </w:r>
      <w:r>
        <w:t xml:space="preserve"> </w:t>
      </w:r>
      <w:r>
        <w:t xml:space="preserve">{{ nivel_proveedor }}</w:t>
      </w:r>
      <w:r>
        <w:t xml:space="preserve"> </w:t>
      </w:r>
      <w:r>
        <w:rPr>
          <w:bCs/>
          <w:b/>
        </w:rPr>
        <w:t xml:space="preserve">Periodo cubierto por el plan:</w:t>
      </w:r>
      <w:r>
        <w:t xml:space="preserve"> </w:t>
      </w:r>
      <w:r>
        <w:t xml:space="preserve">{{ periodo_inicio }} — {{ periodo_fin }}</w:t>
      </w:r>
      <w:r>
        <w:t xml:space="preserve"> </w:t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</w:t>
      </w:r>
    </w:p>
    <w:p>
      <w:r>
        <w:pict>
          <v:rect style="width:0;height:1.5pt" o:hralign="center" o:hrstd="t" o:hr="t"/>
        </w:pict>
      </w:r>
    </w:p>
    <w:bookmarkStart w:id="20" w:name="Xd7baf0f653802f4d9ed6b369a28d3728fa19783"/>
    <w:p>
      <w:pPr>
        <w:pStyle w:val="Heading2"/>
      </w:pPr>
      <w:r>
        <w:t xml:space="preserve">1. OBJETO DEL PLAN</w:t>
      </w:r>
    </w:p>
    <w:p>
      <w:pPr>
        <w:pStyle w:val="FirstParagraph"/>
      </w:pPr>
      <w:r>
        <w:t xml:space="preserve">El presente Plan de Supervisión establece la planificación y los mecanismos de control que {{ cliente.razon_social }} aplicará durante la vigencia del servicio prestado por</w:t>
      </w:r>
      <w:r>
        <w:t xml:space="preserve"> </w:t>
      </w:r>
      <w:r>
        <w:rPr>
          <w:bCs/>
          <w:b/>
        </w:rPr>
        <w:t xml:space="preserve">{{ proveedor.razon_social }}</w:t>
      </w:r>
      <w:r>
        <w:t xml:space="preserve">, a efectos de:</w:t>
      </w:r>
    </w:p>
    <w:p>
      <w:pPr>
        <w:pStyle w:val="BodyText"/>
      </w:pPr>
      <w:r>
        <w:t xml:space="preserve">a) Verificar el</w:t>
      </w:r>
      <w:r>
        <w:t xml:space="preserve"> </w:t>
      </w:r>
      <w:r>
        <w:rPr>
          <w:bCs/>
          <w:b/>
        </w:rPr>
        <w:t xml:space="preserve">mantenimiento sostenido</w:t>
      </w:r>
      <w:r>
        <w:t xml:space="preserve"> </w:t>
      </w:r>
      <w:r>
        <w:t xml:space="preserve">de las capacidades de seguridad evaluadas en el Informe E-602.</w:t>
      </w:r>
    </w:p>
    <w:p>
      <w:pPr>
        <w:pStyle w:val="BodyText"/>
      </w:pPr>
      <w:r>
        <w:t xml:space="preserve">b) Detectar</w:t>
      </w:r>
      <w:r>
        <w:t xml:space="preserve"> </w:t>
      </w:r>
      <w:r>
        <w:rPr>
          <w:bCs/>
          <w:b/>
        </w:rPr>
        <w:t xml:space="preserve">desviaciones, degradaciones o incumplimientos</w:t>
      </w:r>
      <w:r>
        <w:t xml:space="preserve"> </w:t>
      </w:r>
      <w:r>
        <w:t xml:space="preserve">materiales en el servicio o en su entorno de seguridad.</w:t>
      </w:r>
    </w:p>
    <w:p>
      <w:pPr>
        <w:pStyle w:val="BodyText"/>
      </w:pPr>
      <w:r>
        <w:t xml:space="preserve">c) Documentar las</w:t>
      </w:r>
      <w:r>
        <w:t xml:space="preserve"> </w:t>
      </w:r>
      <w:r>
        <w:rPr>
          <w:bCs/>
          <w:b/>
        </w:rPr>
        <w:t xml:space="preserve">revisiones efectuadas</w:t>
      </w:r>
      <w:r>
        <w:t xml:space="preserve"> </w:t>
      </w:r>
      <w:r>
        <w:t xml:space="preserve">conforme exige la medida</w:t>
      </w:r>
      <w:r>
        <w:t xml:space="preserve"> </w:t>
      </w:r>
      <w:r>
        <w:rPr>
          <w:rStyle w:val="VerbatimChar"/>
        </w:rPr>
        <w:t xml:space="preserve">op.ext.2</w:t>
      </w:r>
      <w:r>
        <w:t xml:space="preserve"> </w:t>
      </w:r>
      <w:r>
        <w:t xml:space="preserve">(Gestión diaria) del Anexo II del RD 311/2022.</w:t>
      </w:r>
    </w:p>
    <w:p>
      <w:pPr>
        <w:pStyle w:val="BodyText"/>
      </w:pPr>
      <w:r>
        <w:t xml:space="preserve">d) Cumplir la obligación de</w:t>
      </w:r>
      <w:r>
        <w:t xml:space="preserve"> </w:t>
      </w:r>
      <w:r>
        <w:rPr>
          <w:bCs/>
          <w:b/>
        </w:rPr>
        <w:t xml:space="preserve">supervisión continuada de la cadena de suministro</w:t>
      </w:r>
      <w:r>
        <w:t xml:space="preserve"> </w:t>
      </w:r>
      <w:r>
        <w:t xml:space="preserve">derivada de la NIS2 Art. 21.2.d) cuando aplique.</w:t>
      </w:r>
    </w:p>
    <w:p>
      <w:pPr>
        <w:pStyle w:val="BodyText"/>
      </w:pPr>
      <w:r>
        <w:t xml:space="preserve">e) Soportar la</w:t>
      </w:r>
      <w:r>
        <w:t xml:space="preserve"> </w:t>
      </w:r>
      <w:r>
        <w:rPr>
          <w:bCs/>
          <w:b/>
        </w:rPr>
        <w:t xml:space="preserve">trazabilidad documental</w:t>
      </w:r>
      <w:r>
        <w:t xml:space="preserve"> </w:t>
      </w:r>
      <w:r>
        <w:t xml:space="preserve">requerida por los auditores ENS internos y externos.</w:t>
      </w:r>
    </w:p>
    <w:bookmarkEnd w:id="20"/>
    <w:bookmarkStart w:id="21" w:name="Xcca688f82ada9c1166164e52ccf51105122d14f"/>
    <w:p>
      <w:pPr>
        <w:pStyle w:val="Heading2"/>
      </w:pPr>
      <w:r>
        <w:t xml:space="preserve">2. MARCO DE REFERENCIA</w:t>
      </w:r>
    </w:p>
    <w:p>
      <w:pPr>
        <w:pStyle w:val="FirstParagraph"/>
      </w:pPr>
      <w:r>
        <w:t xml:space="preserve">Este plan se enmarca 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Decreto 311/2022, Art. 18 y Anexo II medidas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op.ext.1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op.ext.2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Reglamento (UE) 2016/679 (RGPD) Art. 28</w:t>
      </w:r>
      <w:r>
        <w:t xml:space="preserve"> </w:t>
      </w:r>
      <w:r>
        <w:t xml:space="preserve">cuando aplica.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Directiva (UE) 2022/2555 (NIS2) Art. 21.2.d)</w:t>
      </w:r>
      <w:r>
        <w:t xml:space="preserve"> </w:t>
      </w:r>
      <w:r>
        <w:t xml:space="preserve">cuando aplica.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Reglamento (UE) 2022/2554 (DORA) Art. 28-30</w:t>
      </w:r>
      <w:r>
        <w:t xml:space="preserve"> </w:t>
      </w:r>
      <w:r>
        <w:t xml:space="preserve">cuando aplica.</w:t>
      </w:r>
    </w:p>
    <w:p>
      <w:pPr>
        <w:numPr>
          <w:ilvl w:val="0"/>
          <w:numId w:val="1001"/>
        </w:numPr>
        <w:pStyle w:val="Compact"/>
      </w:pPr>
      <w:r>
        <w:t xml:space="preserve">Política E-112 y procedimiento E-217 vigentes en {{ cliente.razon_social }}.</w:t>
      </w:r>
    </w:p>
    <w:bookmarkEnd w:id="21"/>
    <w:bookmarkStart w:id="22" w:name="X5fcc69fc6dd64ea1888b7f0927e04dff5326a34"/>
    <w:p>
      <w:pPr>
        <w:pStyle w:val="Heading2"/>
      </w:pPr>
      <w:r>
        <w:t xml:space="preserve">3. FRECUENCIAS Y TIPOS DE SUPERVISIÓN</w:t>
      </w:r>
    </w:p>
    <w:p>
      <w:pPr>
        <w:pStyle w:val="FirstParagraph"/>
      </w:pPr>
      <w:r>
        <w:t xml:space="preserve">La frecuencia de las actividades de supervisión se determina conforme al nivel de criticidad</w:t>
      </w:r>
      <w:r>
        <w:t xml:space="preserve"> </w:t>
      </w:r>
      <w:r>
        <w:rPr>
          <w:bCs/>
          <w:b/>
        </w:rPr>
        <w:t xml:space="preserve">{{ nivel_proveedor }}</w:t>
      </w:r>
      <w:r>
        <w:t xml:space="preserve"> </w:t>
      </w:r>
      <w:r>
        <w:t xml:space="preserve">asignado al proveedor en el Inventario E-600: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documental (recertificaciones, informes auditoría)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Reuniones operativas con 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nivel_proveedor == 'CRITICO' %}Mensual{% elif nivel_proveedor == 'ALTO' %}Trimestral{% elif nivel_proveedor == 'MEDIO' %}Semestral{% else %}Anual{% endif %}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técnicas (cuando aplicable)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nivel_proveedor == 'CRITICO' or nivel_proveedor == 'ALTO' %}Anual{% else %}Bienal{% endif %}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ad-hoc (cambios materiales,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Inmediata al evento desencadenante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Reevaluación integral (re-cumplimentación E-601 abreviado)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nivel_proveedor == 'CRITICO' %}Anual{% elif nivel_proveedor == 'ALTO' %}Bienal{% else %}Trienal{% endif %}</w:t>
            </w:r>
          </w:p>
        </w:tc>
      </w:tr>
    </w:tbl>
    <w:bookmarkEnd w:id="22"/>
    <w:bookmarkStart w:id="23" w:name="X9c9605ae410e51f90cf54929002a65b4a1110f0"/>
    <w:p>
      <w:pPr>
        <w:pStyle w:val="Heading2"/>
      </w:pPr>
      <w:r>
        <w:t xml:space="preserve">4. REVISIONES DOCUMENTALES PROGRAMADAS</w:t>
      </w:r>
    </w:p>
    <w:p>
      <w:pPr>
        <w:pStyle w:val="FirstParagraph"/>
      </w:pPr>
      <w:r>
        <w:t xml:space="preserve">{% if plan_supervision.revisiones_documentales %}</w:t>
      </w:r>
      <w:r>
        <w:t xml:space="preserve"> </w:t>
      </w:r>
      <w:r>
        <w:t xml:space="preserve">| Tipo | Periodicidad | Próxima fecha | Responsable |</w:t>
      </w:r>
      <w:r>
        <w:t xml:space="preserve"> </w:t>
      </w:r>
      <w:r>
        <w:t xml:space="preserve">|------|--------------|---------------|-------------|</w:t>
      </w:r>
      <w:r>
        <w:t xml:space="preserve"> </w:t>
      </w:r>
      <w:r>
        <w:t xml:space="preserve">{% for rd in plan_supervision.revisiones_documentales %}</w:t>
      </w:r>
      <w:r>
        <w:t xml:space="preserve"> </w:t>
      </w:r>
      <w:r>
        <w:t xml:space="preserve">| {{ rd.tipo }} | {{ rd.periodicidad }} | {{ rd.proxima_fecha }} | {{ rd.responsable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Documentación que el proveedor debe aportar en cada revisión documental:</w:t>
      </w:r>
    </w:p>
    <w:p>
      <w:pPr>
        <w:pStyle w:val="BodyText"/>
      </w:pPr>
      <w:r>
        <w:t xml:space="preserve">{% if plan_supervision.documentos_requeridos %}</w:t>
      </w:r>
      <w:r>
        <w:t xml:space="preserve"> </w:t>
      </w:r>
      <w:r>
        <w:t xml:space="preserve">{% for doc in plan_supervision.documentos_requeridos %}</w:t>
      </w:r>
    </w:p>
    <w:p>
      <w:pPr>
        <w:numPr>
          <w:ilvl w:val="0"/>
          <w:numId w:val="1002"/>
        </w:numPr>
        <w:pStyle w:val="Compact"/>
      </w:pPr>
      <w:r>
        <w:t xml:space="preserve">{{ doc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2"/>
        </w:numPr>
        <w:pStyle w:val="Compact"/>
      </w:pPr>
      <w:r>
        <w:t xml:space="preserve">Certificaciones ISO 27001 / ENS / SOC 2 vigentes (renovadas)</w:t>
      </w:r>
    </w:p>
    <w:p>
      <w:pPr>
        <w:numPr>
          <w:ilvl w:val="0"/>
          <w:numId w:val="1002"/>
        </w:numPr>
        <w:pStyle w:val="Compact"/>
      </w:pPr>
      <w:r>
        <w:t xml:space="preserve">Informes de auditoría interna del periodo cerrado</w:t>
      </w:r>
    </w:p>
    <w:p>
      <w:pPr>
        <w:numPr>
          <w:ilvl w:val="0"/>
          <w:numId w:val="1002"/>
        </w:numPr>
        <w:pStyle w:val="Compact"/>
      </w:pPr>
      <w:r>
        <w:t xml:space="preserve">Registro de incidentes que hayan podido afectar al servicio</w:t>
      </w:r>
    </w:p>
    <w:p>
      <w:pPr>
        <w:numPr>
          <w:ilvl w:val="0"/>
          <w:numId w:val="1002"/>
        </w:numPr>
        <w:pStyle w:val="Compact"/>
      </w:pPr>
      <w:r>
        <w:t xml:space="preserve">Cambios materiales en subcontrataciones o transferencias internacionales</w:t>
      </w:r>
    </w:p>
    <w:p>
      <w:pPr>
        <w:numPr>
          <w:ilvl w:val="0"/>
          <w:numId w:val="1002"/>
        </w:numPr>
        <w:pStyle w:val="Compact"/>
      </w:pPr>
      <w:r>
        <w:t xml:space="preserve">Estado actualizado de las medidas técnicas del Anexo II del ENS</w:t>
      </w:r>
      <w:r>
        <w:t xml:space="preserve"> </w:t>
      </w:r>
      <w:r>
        <w:t xml:space="preserve">{% endif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El calendario detallado de revisiones documentales se confirmará tras la formalización de la adenda E-604 y se registrará en el sistema FULKRO con los plazos correspondientes al nivel de criticidad asignado.</w:t>
      </w:r>
      <w:r>
        <w:t xml:space="preserve"> </w:t>
      </w:r>
      <w:r>
        <w:t xml:space="preserve">{% endif %}</w:t>
      </w:r>
    </w:p>
    <w:bookmarkEnd w:id="23"/>
    <w:bookmarkStart w:id="24" w:name="Xd48f64df8014659e704de37573e6be99d177d52"/>
    <w:p>
      <w:pPr>
        <w:pStyle w:val="Heading2"/>
      </w:pPr>
      <w:r>
        <w:t xml:space="preserve">5. REUNIONES OPERATIVAS PROGRAMADAS</w:t>
      </w:r>
    </w:p>
    <w:p>
      <w:pPr>
        <w:pStyle w:val="FirstParagraph"/>
      </w:pPr>
      <w:r>
        <w:t xml:space="preserve">{% if plan_supervision.reuniones_operativas %}</w:t>
      </w:r>
      <w:r>
        <w:t xml:space="preserve"> </w:t>
      </w:r>
      <w:r>
        <w:t xml:space="preserve">| Frecuencia | Participantes Entidad | Participantes Proveedor | Agenda mínima |</w:t>
      </w:r>
      <w:r>
        <w:t xml:space="preserve"> </w:t>
      </w:r>
      <w:r>
        <w:t xml:space="preserve">|------------|----------------------|------------------------|---------------|</w:t>
      </w:r>
      <w:r>
        <w:t xml:space="preserve"> </w:t>
      </w:r>
      <w:r>
        <w:t xml:space="preserve">{% for r in plan_supervision.reuniones_operativas %}</w:t>
      </w:r>
      <w:r>
        <w:t xml:space="preserve"> </w:t>
      </w:r>
      <w:r>
        <w:t xml:space="preserve">| {{ r.frecuencia }} | {{ r.participantes_entidad }} | {{ r.participantes_proveedor }} | {{ r.agenda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Las reuniones operativas se mantendrán con la frecuencia indicada en la sección 3 e incluirán, como mínimo:</w:t>
      </w:r>
    </w:p>
    <w:p>
      <w:pPr>
        <w:numPr>
          <w:ilvl w:val="0"/>
          <w:numId w:val="1003"/>
        </w:numPr>
        <w:pStyle w:val="Compact"/>
      </w:pPr>
      <w:r>
        <w:t xml:space="preserve">Revisión del cumplimiento de SLAs en el periodo</w:t>
      </w:r>
    </w:p>
    <w:p>
      <w:pPr>
        <w:numPr>
          <w:ilvl w:val="0"/>
          <w:numId w:val="1003"/>
        </w:numPr>
        <w:pStyle w:val="Compact"/>
      </w:pPr>
      <w:r>
        <w:t xml:space="preserve">Análisis de incidentes ocurridos o intentos detectados</w:t>
      </w:r>
    </w:p>
    <w:p>
      <w:pPr>
        <w:numPr>
          <w:ilvl w:val="0"/>
          <w:numId w:val="1003"/>
        </w:numPr>
        <w:pStyle w:val="Compact"/>
      </w:pPr>
      <w:r>
        <w:t xml:space="preserve">Estado de las medidas de mejora acordadas en revisiones anteriores</w:t>
      </w:r>
    </w:p>
    <w:p>
      <w:pPr>
        <w:numPr>
          <w:ilvl w:val="0"/>
          <w:numId w:val="1003"/>
        </w:numPr>
        <w:pStyle w:val="Compact"/>
      </w:pPr>
      <w:r>
        <w:t xml:space="preserve">Comunicación de cambios materiales en cualquiera de las partes</w:t>
      </w:r>
    </w:p>
    <w:p>
      <w:pPr>
        <w:numPr>
          <w:ilvl w:val="0"/>
          <w:numId w:val="1003"/>
        </w:numPr>
        <w:pStyle w:val="Compact"/>
      </w:pPr>
      <w:r>
        <w:t xml:space="preserve">Planificación operativa del siguiente periodo</w:t>
      </w:r>
      <w:r>
        <w:t xml:space="preserve"> </w:t>
      </w:r>
      <w:r>
        <w:t xml:space="preserve">{% endif %}</w:t>
      </w:r>
    </w:p>
    <w:bookmarkEnd w:id="24"/>
    <w:bookmarkStart w:id="25" w:name="X2ff36db1e856dac426daa896a7e05e22ee3b6aa"/>
    <w:p>
      <w:pPr>
        <w:pStyle w:val="Heading2"/>
      </w:pPr>
      <w:r>
        <w:t xml:space="preserve">6. PRUEBAS TÉCNICAS</w:t>
      </w:r>
    </w:p>
    <w:p>
      <w:pPr>
        <w:pStyle w:val="FirstParagraph"/>
      </w:pPr>
      <w:r>
        <w:t xml:space="preserve">{% if plan_supervision.pruebas_tecnicas %}</w:t>
      </w:r>
      <w:r>
        <w:t xml:space="preserve"> </w:t>
      </w:r>
      <w:r>
        <w:t xml:space="preserve">| Tipo prueba | Periodicidad | Coordinación |</w:t>
      </w:r>
      <w:r>
        <w:t xml:space="preserve"> </w:t>
      </w:r>
      <w:r>
        <w:t xml:space="preserve">|-------------|--------------|--------------|</w:t>
      </w:r>
      <w:r>
        <w:t xml:space="preserve"> </w:t>
      </w:r>
      <w:r>
        <w:t xml:space="preserve">{% for pt in plan_supervision.pruebas_tecnicas %}</w:t>
      </w:r>
      <w:r>
        <w:t xml:space="preserve"> </w:t>
      </w:r>
      <w:r>
        <w:t xml:space="preserve">| {{ pt.tipo }} | {{ pt.periodicidad }} | {{ pt.coordinacion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{% if nivel_proveedor == 'CRITICO' or nivel_proveedor == 'ALTO' %}</w:t>
      </w:r>
      <w:r>
        <w:t xml:space="preserve"> </w:t>
      </w:r>
      <w:r>
        <w:t xml:space="preserve">La Entidad se reserva el derecho a realizar las siguientes pruebas técnicas, con preaviso al proveedor de al menos 15 días naturales y coordinación operativa para evitar afectaciones al servicio: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de penetración</w:t>
      </w:r>
      <w:r>
        <w:t xml:space="preserve"> </w:t>
      </w:r>
      <w:r>
        <w:t xml:space="preserve">sobre las interfaces y servicios expuestos por el proveedor a la Entidad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Escaneo de vulnerabilidades</w:t>
      </w:r>
      <w:r>
        <w:t xml:space="preserve"> </w:t>
      </w:r>
      <w:r>
        <w:t xml:space="preserve">sobre los activos del proveedor que soportan el servicio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Revisión técnica</w:t>
      </w:r>
      <w:r>
        <w:t xml:space="preserve"> </w:t>
      </w:r>
      <w:r>
        <w:t xml:space="preserve">de configuraciones de seguridad relevantes (cifrado, controles de acceso, retención de logs)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Auditoría de los registros</w:t>
      </w:r>
      <w:r>
        <w:t xml:space="preserve"> </w:t>
      </w:r>
      <w:r>
        <w:t xml:space="preserve">de acceso y operación del servicio durante un periodo seleccionado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Las pruebas técnicas se limitarán a la verificación documental de los informes de auditoría aportados por el proveedor, sin perjuicio de la realización de pruebas específicas en caso de incidentes o cambios materiales que las justifiquen.</w:t>
      </w:r>
      <w:r>
        <w:t xml:space="preserve"> </w:t>
      </w:r>
      <w:r>
        <w:t xml:space="preserve">{% endif %}</w:t>
      </w:r>
      <w:r>
        <w:t xml:space="preserve"> </w:t>
      </w:r>
      <w:r>
        <w:t xml:space="preserve">{% endif %}</w:t>
      </w:r>
    </w:p>
    <w:bookmarkEnd w:id="25"/>
    <w:bookmarkStart w:id="28" w:name="Xe3cf56630df43360bb063f3d6e6ff4460ab055c"/>
    <w:p>
      <w:pPr>
        <w:pStyle w:val="Heading2"/>
      </w:pPr>
      <w:r>
        <w:t xml:space="preserve">7. INDICADORES Y SLAs SUPERVISADOS</w:t>
      </w:r>
    </w:p>
    <w:bookmarkStart w:id="26" w:name="Xe94b88bf244f7919f42792d48c5e936aa6a51b1"/>
    <w:p>
      <w:pPr>
        <w:pStyle w:val="Heading3"/>
      </w:pPr>
      <w:r>
        <w:t xml:space="preserve">7.1 Indicadores SLA contractuales</w:t>
      </w:r>
    </w:p>
    <w:p>
      <w:pPr>
        <w:pStyle w:val="FirstParagraph"/>
      </w:pPr>
      <w:r>
        <w:t xml:space="preserve">{% if plan_supervision.kpis_sla %}</w:t>
      </w:r>
      <w:r>
        <w:t xml:space="preserve"> </w:t>
      </w:r>
      <w:r>
        <w:t xml:space="preserve">| Indicador | Objetivo | Umbral de alerta | Origen del dato |</w:t>
      </w:r>
      <w:r>
        <w:t xml:space="preserve"> </w:t>
      </w:r>
      <w:r>
        <w:t xml:space="preserve">|-----------|---------:|------------------|-----------------|</w:t>
      </w:r>
      <w:r>
        <w:t xml:space="preserve"> </w:t>
      </w:r>
      <w:r>
        <w:t xml:space="preserve">{% for k in plan_supervision.kpis_sla %}</w:t>
      </w:r>
      <w:r>
        <w:t xml:space="preserve"> </w:t>
      </w:r>
      <w:r>
        <w:t xml:space="preserve">| {{ k.nombre }} | {{ k.objetivo }} | {{ k.umbral_alerta }} | {{ k.origen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| Indicador | Objetivo orientativo |</w:t>
      </w:r>
      <w:r>
        <w:t xml:space="preserve"> </w:t>
      </w:r>
      <w:r>
        <w:t xml:space="preserve">|-----------|---------------------:|</w:t>
      </w:r>
      <w:r>
        <w:t xml:space="preserve"> </w:t>
      </w:r>
      <w:r>
        <w:t xml:space="preserve">| Disponibilidad mensual del servicio | ≥ 99,5% |</w:t>
      </w:r>
      <w:r>
        <w:t xml:space="preserve"> </w:t>
      </w:r>
      <w:r>
        <w:t xml:space="preserve">| Tiempo medio de resolución incidentes | ≤ 8 horas hábiles |</w:t>
      </w:r>
      <w:r>
        <w:t xml:space="preserve"> </w:t>
      </w:r>
      <w:r>
        <w:t xml:space="preserve">| Cumplimiento ventana de notificación incidentes graves | ≤ {{ notificacion_horas }}h desde detección |</w:t>
      </w:r>
      <w:r>
        <w:t xml:space="preserve"> </w:t>
      </w:r>
      <w:r>
        <w:t xml:space="preserve">| Tiempo medio de respuesta a solicitudes operativas | ≤ 2 días hábiles |</w:t>
      </w:r>
      <w:r>
        <w:t xml:space="preserve"> </w:t>
      </w:r>
      <w:r>
        <w:t xml:space="preserve">{% endif %}</w:t>
      </w:r>
    </w:p>
    <w:bookmarkEnd w:id="26"/>
    <w:bookmarkStart w:id="27" w:name="X815b83f6a2bb71283133e8b56a20098f2296f29"/>
    <w:p>
      <w:pPr>
        <w:pStyle w:val="Heading3"/>
      </w:pPr>
      <w:r>
        <w:t xml:space="preserve">7.2 Indicadores específicos del cumplimiento 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Certificaciones vigentes acreditadas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asignado al servicio con formación seguridad documentada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no notificados en plazo a la Entidad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materiales no comunicados previamente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Subcontrataciones no autorizadas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</w:tbl>
    <w:bookmarkEnd w:id="27"/>
    <w:bookmarkEnd w:id="28"/>
    <w:bookmarkStart w:id="29" w:name="Xd3b9e21c77dd6be48afb269ae4a1acb7b02102f"/>
    <w:p>
      <w:pPr>
        <w:pStyle w:val="Heading2"/>
      </w:pPr>
      <w:r>
        <w:t xml:space="preserve">8. NOTIFICACIÓN Y GESTIÓN DE INCIDENTES</w:t>
      </w:r>
    </w:p>
    <w:p>
      <w:pPr>
        <w:pStyle w:val="FirstParagraph"/>
      </w:pPr>
      <w:r>
        <w:t xml:space="preserve">El proveedor deberá notificar a {{ cliente.razon_social }} todo incidente que afecte o pueda afectar al servicio o a la información tratada, en un plazo máximo de</w:t>
      </w:r>
      <w:r>
        <w:t xml:space="preserve"> </w:t>
      </w:r>
      <w:r>
        <w:rPr>
          <w:bCs/>
          <w:b/>
        </w:rPr>
        <w:t xml:space="preserve">{{ notificacion_horas }} horas desde la detección</w:t>
      </w:r>
      <w:r>
        <w:t xml:space="preserve">, dirigiendo la notificación al contacto operativo de compliance ({{ contacto_email }}).</w:t>
      </w:r>
    </w:p>
    <w:p>
      <w:pPr>
        <w:pStyle w:val="BodyText"/>
      </w:pPr>
      <w:r>
        <w:t xml:space="preserve">Contenido mínimo de la notificación inicial:</w:t>
      </w:r>
    </w:p>
    <w:p>
      <w:pPr>
        <w:pStyle w:val="BodyText"/>
      </w:pPr>
      <w:r>
        <w:t xml:space="preserve">a) Descripción del incidente y servicios afectados</w:t>
      </w:r>
      <w:r>
        <w:t xml:space="preserve"> </w:t>
      </w:r>
      <w:r>
        <w:t xml:space="preserve">b) Hora estimada de inicio y de detección</w:t>
      </w:r>
      <w:r>
        <w:t xml:space="preserve"> </w:t>
      </w:r>
      <w:r>
        <w:t xml:space="preserve">c) Tipo de información o sistemas potencialmente comprometidos</w:t>
      </w:r>
      <w:r>
        <w:t xml:space="preserve"> </w:t>
      </w:r>
      <w:r>
        <w:t xml:space="preserve">d) Medidas inmediatas adoptadas</w:t>
      </w:r>
      <w:r>
        <w:t xml:space="preserve"> </w:t>
      </w:r>
      <w:r>
        <w:t xml:space="preserve">e) Punto de contacto en el proveedor para el seguimiento</w:t>
      </w:r>
    </w:p>
    <w:p>
      <w:pPr>
        <w:pStyle w:val="BodyText"/>
      </w:pPr>
      <w:r>
        <w:t xml:space="preserve">Cuando el incidente sea</w:t>
      </w:r>
      <w:r>
        <w:t xml:space="preserve"> </w:t>
      </w:r>
      <w:r>
        <w:rPr>
          <w:bCs/>
          <w:b/>
        </w:rPr>
        <w:t xml:space="preserve">significativo conforme al ENS</w:t>
      </w:r>
      <w:r>
        <w:t xml:space="preserve"> </w:t>
      </w:r>
      <w:r>
        <w:t xml:space="preserve">o afecte a</w:t>
      </w:r>
      <w:r>
        <w:t xml:space="preserve"> </w:t>
      </w:r>
      <w:r>
        <w:rPr>
          <w:bCs/>
          <w:b/>
        </w:rPr>
        <w:t xml:space="preserve">datos personales</w:t>
      </w:r>
      <w:r>
        <w:t xml:space="preserve">, el proveedor colaborará con la Entidad en los procesos de notificación obligatorios a CCN-CERT, AEPD, INES, o cualquier otra autoridad competente, aportando la información requerida en los plazos legalmente aplicables.</w:t>
      </w:r>
    </w:p>
    <w:bookmarkEnd w:id="29"/>
    <w:bookmarkStart w:id="30" w:name="X96ef4d8519b52e4d775430a0d3b35e6541376fa"/>
    <w:p>
      <w:pPr>
        <w:pStyle w:val="Heading2"/>
      </w:pPr>
      <w:r>
        <w:t xml:space="preserve">9. ESCALADO ANTE HALLAZGOS Y DESVIACIONES</w:t>
      </w:r>
    </w:p>
    <w:p>
      <w:pPr>
        <w:pStyle w:val="FirstParagraph"/>
      </w:pPr>
      <w:r>
        <w:t xml:space="preserve">Cuando en el ejercicio de las actividades de supervisión se detecten desviaciones o hallazgos materiales, se aplicará el siguiente protocolo de escalado: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operativa al proveedor solicitando subsanación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naturales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 formal de hallazgo + plan de subsanación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naturales para el plan; 60 días para la subsanación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extraordinaria + plan de subsanación + supervisión reforzada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para reunión; 15 días para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interno de continuidad del contrato + activación procedimiento de salida si procede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</w:tbl>
    <w:bookmarkEnd w:id="30"/>
    <w:bookmarkStart w:id="31" w:name="Xd75b225ea49606dac27834274ffa0b8be53d91b"/>
    <w:p>
      <w:pPr>
        <w:pStyle w:val="Heading2"/>
      </w:pPr>
      <w:r>
        <w:t xml:space="preserve">10. RESPONSABILIDADES INTERNAS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Seguridad ({{ responsable_nombre 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del plan; supervisión global; decisión sobre hallazgos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operativa con el proveedor; recepción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técnica; coordinación pruebas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 de Seguridad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periódica del estado del plan; aprobación cambios estructurales</w:t>
            </w:r>
          </w:p>
        </w:tc>
      </w:tr>
    </w:tbl>
    <w:bookmarkEnd w:id="31"/>
    <w:bookmarkStart w:id="32" w:name="X8b7e5f6b21dc7d3797824be3504062ea96d246b"/>
    <w:p>
      <w:pPr>
        <w:pStyle w:val="Heading2"/>
      </w:pPr>
      <w:r>
        <w:t xml:space="preserve">11. REVISIÓN DEL PLAN</w:t>
      </w:r>
    </w:p>
    <w:p>
      <w:pPr>
        <w:pStyle w:val="FirstParagraph"/>
      </w:pPr>
      <w:r>
        <w:t xml:space="preserve">El presente plan será revisado: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Anualmente</w:t>
      </w:r>
      <w:r>
        <w:t xml:space="preserve"> </w:t>
      </w:r>
      <w:r>
        <w:t xml:space="preserve">con carácter ordinario por el Responsable de Seguridad.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De forma extraordinaria</w:t>
      </w:r>
      <w:r>
        <w:t xml:space="preserve"> </w:t>
      </w:r>
      <w:r>
        <w:t xml:space="preserve">cuando se produzcan cambios materiales en:</w:t>
      </w:r>
    </w:p>
    <w:p>
      <w:pPr>
        <w:numPr>
          <w:ilvl w:val="0"/>
          <w:numId w:val="1005"/>
        </w:numPr>
        <w:pStyle w:val="Compact"/>
      </w:pPr>
      <w:r>
        <w:t xml:space="preserve">El nivel de criticidad asignado al proveedor</w:t>
      </w:r>
    </w:p>
    <w:p>
      <w:pPr>
        <w:numPr>
          <w:ilvl w:val="0"/>
          <w:numId w:val="1005"/>
        </w:numPr>
        <w:pStyle w:val="Compact"/>
      </w:pPr>
      <w:r>
        <w:t xml:space="preserve">El alcance del servicio prestado</w:t>
      </w:r>
    </w:p>
    <w:p>
      <w:pPr>
        <w:numPr>
          <w:ilvl w:val="0"/>
          <w:numId w:val="1005"/>
        </w:numPr>
        <w:pStyle w:val="Compact"/>
      </w:pPr>
      <w:r>
        <w:t xml:space="preserve">El marco normativo aplicable</w:t>
      </w:r>
    </w:p>
    <w:p>
      <w:pPr>
        <w:numPr>
          <w:ilvl w:val="0"/>
          <w:numId w:val="1005"/>
        </w:numPr>
        <w:pStyle w:val="Compact"/>
      </w:pPr>
      <w:r>
        <w:t xml:space="preserve">La estructura organizativa del proveedor (fusión, adquisición, cambio de control)</w:t>
      </w:r>
    </w:p>
    <w:bookmarkEnd w:id="32"/>
    <w:bookmarkStart w:id="33" w:name="Xb8ca02e973e6f90fc2db3cb1b669630b117ec37"/>
    <w:p>
      <w:pPr>
        <w:pStyle w:val="Heading2"/>
      </w:pPr>
      <w:r>
        <w:t xml:space="preserve">12. 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responsable_cargo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fecha_emision 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cliente.responsable_sistemas %}{{ cliente.responsable_sistemas.nombre }}{% else %}—{% endif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cliente.responsable_sistemas %}{{ cliente.responsable_sistemas.cargo }}{% else %}Responsable de Sistemas{% endif %}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cliente.direccion %}{{ cliente.direccion.nombre }}{% else %}—{% endif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{% if cliente.direccion %}{{ cliente.direccion.cargo }}{% else %}Dirección{% endif %}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· plataforma de gestión ENS · {{ fecha_emision }}</w:t>
      </w:r>
      <w:r>
        <w:t xml:space="preserve"> </w:t>
      </w:r>
      <w:r>
        <w:rPr>
          <w:iCs/>
          <w:i/>
        </w:rPr>
        <w:t xml:space="preserve">Trazabilidad: este plan se vincula 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provider_id={{ proveedor.id if proveedor.id else '—' }}</w:t>
      </w:r>
      <w:r>
        <w:rPr>
          <w:iCs/>
          <w:i/>
        </w:rPr>
        <w:t xml:space="preserve"> </w:t>
      </w:r>
      <w:r>
        <w:rPr>
          <w:iCs/>
          <w:i/>
        </w:rPr>
        <w:t xml:space="preserve">y registra sus ejecuciones en las columnas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last_reviewed_at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next_review_date</w:t>
      </w:r>
      <w:r>
        <w:rPr>
          <w:iCs/>
          <w:i/>
        </w:rPr>
        <w:t xml:space="preserve"> </w:t>
      </w:r>
      <w:r>
        <w:rPr>
          <w:iCs/>
          <w:i/>
        </w:rPr>
        <w:t xml:space="preserve">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next_review_owner</w:t>
      </w:r>
      <w:r>
        <w:rPr>
          <w:iCs/>
          <w:i/>
        </w:rPr>
        <w:t xml:space="preserve"> </w:t>
      </w:r>
      <w:r>
        <w:rPr>
          <w:iCs/>
          <w:i/>
        </w:rPr>
        <w:t xml:space="preserve">de la tabla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providers</w:t>
      </w:r>
      <w:r>
        <w:rPr>
          <w:iCs/>
          <w:i/>
        </w:rP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2026-05-18T12:43:28Z</dcterms:created>
  <dcterms:modified xsi:type="dcterms:W3CDTF">2026-05-18T12:43:28Z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