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55295acf48d3965cfeffe4d3090077d8cbb754"/>
    <w:p>
      <w:pPr>
        <w:pStyle w:val="Heading1"/>
      </w:pPr>
      <w:r>
        <w:t xml:space="preserve">INFORME INES · SNAPSHOT ANUAL DEL ESTADO DEL ENS DE {{ cliente.razon_social|upper }}</w:t>
      </w:r>
    </w:p>
    <w:p>
      <w:pPr>
        <w:pStyle w:val="FirstParagraph"/>
      </w:pPr>
      <w:r>
        <w:t xml:space="preserve">Documento {{ proyecto.codigo_documento_base }}-709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Snapshot INES ha sido elaborado por {{ responsables.consultor.nombre }}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ffd7d5e7e28940b671c16451296ec579edbd0f5"/>
    <w:p>
      <w:pPr>
        <w:pStyle w:val="Heading2"/>
      </w:pPr>
      <w:r>
        <w:t xml:space="preserve">1. OBJETO Y MARCO NORMATIVO</w:t>
      </w:r>
    </w:p>
    <w:p>
      <w:pPr>
        <w:pStyle w:val="FirstParagraph"/>
      </w:pPr>
      <w:r>
        <w:t xml:space="preserve">El presente documento es el</w:t>
      </w:r>
      <w:r>
        <w:t xml:space="preserve"> </w:t>
      </w:r>
      <w:r>
        <w:rPr>
          <w:bCs/>
          <w:b/>
        </w:rPr>
        <w:t xml:space="preserve">Snapshot Anual</w:t>
      </w:r>
      <w:r>
        <w:t xml:space="preserve"> </w:t>
      </w:r>
      <w:r>
        <w:t xml:space="preserve">que sirve de soporte al reporte INES (Informe Nacional del Estado de Seguridad) que {{ cliente.razon_social }} elabora conforme 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Decreto 311/2022</w:t>
      </w:r>
      <w:r>
        <w:t xml:space="preserve"> </w:t>
      </w:r>
      <w:r>
        <w:t xml:space="preserve">Artículo 35 (reporte del estado de seguridad).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Guía CCN-STIC-824</w:t>
      </w:r>
      <w:r>
        <w:t xml:space="preserve"> </w:t>
      </w:r>
      <w:r>
        <w:t xml:space="preserve">Informe del Estado de Seguridad.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Plataforma INES</w:t>
      </w:r>
      <w:r>
        <w:t xml:space="preserve"> </w:t>
      </w:r>
      <w:r>
        <w:t xml:space="preserve">del Centro Criptológico Nacional (</w:t>
      </w:r>
      <w:r>
        <w:rPr>
          <w:rStyle w:val="VerbatimChar"/>
        </w:rPr>
        <w:t xml:space="preserve">https://ines.ccn-cert.cni.es</w:t>
      </w:r>
      <w:r>
        <w:t xml:space="preserve">).</w:t>
      </w:r>
    </w:p>
    <w:p>
      <w:pPr>
        <w:pStyle w:val="FirstParagraph"/>
      </w:pPr>
      <w:r>
        <w:t xml:space="preserve">El reporte INES presenta una distinción de exigibilidad según la naturaleza de la entidad:</w:t>
      </w:r>
    </w:p>
    <w:p>
      <w:pPr>
        <w:numPr>
          <w:ilvl w:val="0"/>
          <w:numId w:val="1002"/>
        </w:numPr>
        <w:pStyle w:val="Compact"/>
      </w:pPr>
      <w:r>
        <w:t xml:space="preserve">Para</w:t>
      </w:r>
      <w:r>
        <w:t xml:space="preserve"> </w:t>
      </w:r>
      <w:r>
        <w:rPr>
          <w:bCs/>
          <w:b/>
        </w:rPr>
        <w:t xml:space="preserve">entidades del sector público</w:t>
      </w:r>
      <w:r>
        <w:t xml:space="preserve"> </w:t>
      </w:r>
      <w:r>
        <w:t xml:space="preserve">dentro del ámbito de aplicación del ENS (Administraciones Públicas y organismos vinculados), el reporte INES es</w:t>
      </w:r>
      <w:r>
        <w:t xml:space="preserve"> </w:t>
      </w:r>
      <w:r>
        <w:rPr>
          <w:bCs/>
          <w:b/>
        </w:rPr>
        <w:t xml:space="preserve">obligatorio con periodicidad anual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Para</w:t>
      </w:r>
      <w:r>
        <w:t xml:space="preserve"> </w:t>
      </w:r>
      <w:r>
        <w:rPr>
          <w:bCs/>
          <w:b/>
        </w:rPr>
        <w:t xml:space="preserve">entidades del sector privado bajo ámbito ENS</w:t>
      </w:r>
      <w:r>
        <w:t xml:space="preserve"> </w:t>
      </w:r>
      <w:r>
        <w:t xml:space="preserve">({{ cliente.razon_social }} en su condición de proveedora de servicios a Administraciones Públicas), su exigibilidad</w:t>
      </w:r>
      <w:r>
        <w:t xml:space="preserve"> </w:t>
      </w:r>
      <w:r>
        <w:rPr>
          <w:bCs/>
          <w:b/>
        </w:rPr>
        <w:t xml:space="preserve">depende de las cláusulas del pliego o contrato del cliente público</w:t>
      </w:r>
      <w:r>
        <w:t xml:space="preserve"> </w:t>
      </w:r>
      <w:r>
        <w:t xml:space="preserve">y de las instrucciones específicas del CCN cuando el sistema bajo alcance ENS preste servicios incluidos en infraestructuras esenciales.</w:t>
      </w:r>
    </w:p>
    <w:p>
      <w:pPr>
        <w:pStyle w:val="FirstParagraph"/>
      </w:pPr>
      <w:r>
        <w:t xml:space="preserve">Independientemente de la exigibilidad formal,</w:t>
      </w:r>
      <w:r>
        <w:t xml:space="preserve"> </w:t>
      </w:r>
      <w:r>
        <w:rPr>
          <w:bCs/>
          <w:b/>
        </w:rPr>
        <w:t xml:space="preserve">{{ cliente.razon_social }} elabora este Snapshot Anual</w:t>
      </w:r>
      <w:r>
        <w:t xml:space="preserve"> </w:t>
      </w:r>
      <w:r>
        <w:t xml:space="preserve">como evidencia interna de madurez del SGSI, manteniéndolo disponible para presentación al cliente público cuando éste lo solicite y como insumo del expediente que el auditor externo ENAC revisa durante el ciclo de certificación.</w:t>
      </w:r>
    </w:p>
    <w:bookmarkEnd w:id="22"/>
    <w:bookmarkStart w:id="23" w:name="Xad5a658173417047111f2cbaa95ee7bbc62013e"/>
    <w:p>
      <w:pPr>
        <w:pStyle w:val="Heading2"/>
      </w:pPr>
      <w:r>
        <w:t xml:space="preserve">2. PERIODO DEL REPORTE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 reportado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ines.año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la fotografía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ines.fecha_snapshot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cubierto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ines.fecha_inicio }} a {{ ines.fecha_fin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del envío 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responsables.responsable_seguridad.nombre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programada de envío al CCN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ines.fecha_envio }}</w:t>
            </w:r>
          </w:p>
        </w:tc>
      </w:tr>
    </w:tbl>
    <w:bookmarkEnd w:id="23"/>
    <w:bookmarkStart w:id="24" w:name="X529f5939e843fb2264660bed67d0f9a3ddf155d"/>
    <w:p>
      <w:pPr>
        <w:pStyle w:val="Heading2"/>
      </w:pPr>
      <w:r>
        <w:t xml:space="preserve">3. DATOS DE LA ENTIDAD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cliente.nif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de 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cliente.sector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Ámbito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cliente.ambito_ens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en plantilla bajo 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cliente.num_empleados_alcance }}</w:t>
            </w:r>
          </w:p>
        </w:tc>
      </w:tr>
    </w:tbl>
    <w:bookmarkEnd w:id="24"/>
    <w:bookmarkStart w:id="25" w:name="X730cf2586903a665930e189582046ee5a8aaee6"/>
    <w:p>
      <w:pPr>
        <w:pStyle w:val="Heading2"/>
      </w:pPr>
      <w:r>
        <w:t xml:space="preserve">4. SISTEMAS DECLARADOS EN INES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 certificación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Fecha próxima auditoría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sis in sistemas_declarados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sis.nombre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sis.alcance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sis.categoria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sis.estado_certificacion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5"/>
    <w:bookmarkStart w:id="26" w:name="Xece9fb6b42ce3233066d9c0543e69ba2cef452f"/>
    <w:p>
      <w:pPr>
        <w:pStyle w:val="Heading2"/>
      </w:pPr>
      <w:r>
        <w:t xml:space="preserve">5. NIVEL DE MADUREZ E0-E5 POR DIMENSIÓN</w:t>
      </w:r>
    </w:p>
    <w:p>
      <w:pPr>
        <w:pStyle w:val="FirstParagraph"/>
      </w:pPr>
      <w:r>
        <w:t xml:space="preserve">INES mide el nivel de madurez del sistema en cada dimensión de seguridad conforme a la escala E0-E5: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Nivel objetivo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Nivel real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madurez.confidencialidad.objetivo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madurez.confidencialidad.real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madurez.confidencialidad.estado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madurez.integridad.objetivo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madurez.integridad.real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madurez.integridad.estado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madurez.disponibilidad.objetivo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madurez.disponibilidad.real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madurez.disponibilidad.estado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madurez.autenticidad.objetivo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madurez.autenticidad.real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madurez.autenticidad.estado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madurez.trazabilidad.objetivo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madurez.trazabilidad.real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madurez.trazabilidad.estado }}</w:t>
            </w:r>
          </w:p>
        </w:tc>
      </w:tr>
    </w:tbl>
    <w:p>
      <w:pPr>
        <w:pStyle w:val="BodyText"/>
      </w:pPr>
      <w:r>
        <w:rPr>
          <w:bCs/>
          <w:b/>
        </w:rPr>
        <w:t xml:space="preserve">Niveles de madurez E0-E5</w:t>
      </w:r>
      <w:r>
        <w:t xml:space="preserve">: E0 inexistente · E1 inicial · E2 reproducible · E3 definido · E4 gestionado · E5 optimizado.</w:t>
      </w:r>
    </w:p>
    <w:bookmarkEnd w:id="26"/>
    <w:bookmarkStart w:id="27" w:name="X18643063e147512331f8f3c3a060b1996f44a03"/>
    <w:p>
      <w:pPr>
        <w:pStyle w:val="Heading2"/>
      </w:pPr>
      <w:r>
        <w:t xml:space="preserve">6. CUMPLIMIENTO DE LAS MEDIDAS DEL ANEXO II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Medidas aplicables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Parciales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cumplidas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Cumplimiento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fam in cumplimiento_familia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fam.nombre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fam.aplicables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fam.cumplidas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fam.parciales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fam.no_cumplidas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Cumplimiento global del Anexo II</w:t>
      </w:r>
      <w:r>
        <w:t xml:space="preserve">: {{ cumplimiento_global }}%.</w:t>
      </w:r>
    </w:p>
    <w:bookmarkEnd w:id="27"/>
    <w:bookmarkStart w:id="28" w:name="X2619b71e9260bf7e4fa05ab3b7b9d04e0f34e2c"/>
    <w:p>
      <w:pPr>
        <w:pStyle w:val="Heading2"/>
      </w:pPr>
      <w:r>
        <w:t xml:space="preserve">7. INCIDENTES SIGNIFICATIVOS DEL PERIODO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Reportado a autoridades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inc in incidentes_periodo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inc.id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inc.fecha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inc.tipo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inc.severidad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inc.reportado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Total incidentes</w:t>
      </w:r>
      <w:r>
        <w:t xml:space="preserve">: {{ resumen_incidentes.total }} ·</w:t>
      </w:r>
      <w:r>
        <w:t xml:space="preserve"> </w:t>
      </w:r>
      <w:r>
        <w:rPr>
          <w:bCs/>
          <w:b/>
        </w:rPr>
        <w:t xml:space="preserve">con notificación a autoridades</w:t>
      </w:r>
      <w:r>
        <w:t xml:space="preserve">: {{ resumen_incidentes.notificados }}.</w:t>
      </w:r>
    </w:p>
    <w:bookmarkEnd w:id="28"/>
    <w:bookmarkStart w:id="29" w:name="X18815dabf97d4b6e4a2e42abc3d68ed80235c4c"/>
    <w:p>
      <w:pPr>
        <w:pStyle w:val="Heading2"/>
      </w:pPr>
      <w:r>
        <w:t xml:space="preserve">8. AUDITORÍAS Y EJERCICIOS DEL PERIODO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Documento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aud in auditorias_periodo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aud.tipo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aud.fecha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aud.resultado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9"/>
    <w:bookmarkStart w:id="30" w:name="Xa07e26037b2983eb859c752017d84890eb2e0a5"/>
    <w:p>
      <w:pPr>
        <w:pStyle w:val="Heading2"/>
      </w:pPr>
      <w:r>
        <w:t xml:space="preserve">9. PROGRAMA DE FORMACIÓN Y CONCIENCIACIÓN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plan 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formacion.cobertura_pct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de acogida en plazo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formacion.acogida_pct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click en phishing (anual)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formacion.click_pct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reporte de phishing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formacion.reporte_pct }}%</w:t>
            </w:r>
          </w:p>
        </w:tc>
      </w:tr>
    </w:tbl>
    <w:p>
      <w:pPr>
        <w:pStyle w:val="BodyText"/>
      </w:pPr>
      <w:r>
        <w:t xml:space="preserve">Documentos de referencia: E-500 (plan), E-502 (registro), E-503 (phishing), E-504 (KPIs).</w:t>
      </w:r>
    </w:p>
    <w:bookmarkEnd w:id="30"/>
    <w:bookmarkStart w:id="31" w:name="X1a1448007d948fa4da61ac1c211c0eedf7d7f57"/>
    <w:p>
      <w:pPr>
        <w:pStyle w:val="Heading2"/>
      </w:pPr>
      <w:r>
        <w:t xml:space="preserve">10. PLAN DE TRATAMIENTO DE RIESGOS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riesgos identificados (Magerit)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riesgos.total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alto residual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riesgos.alto_residual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Riesgos tratados en el periodo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riesgos.tratados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Riesgos en seguimiento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riesgos.seguimiento }}</w:t>
            </w:r>
          </w:p>
        </w:tc>
      </w:tr>
    </w:tbl>
    <w:bookmarkEnd w:id="31"/>
    <w:bookmarkStart w:id="32" w:name="X92df3a5c61aa54f2fc9d22a6bc8286ae39712b7"/>
    <w:p>
      <w:pPr>
        <w:pStyle w:val="Heading2"/>
      </w:pPr>
      <w:r>
        <w:t xml:space="preserve">11. INVERSIÓN EN SEGURIDAD (PERIODO)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de seguridad (hardware + software)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inversion.infraestructura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profesionales (consultoría, auditoría)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inversion.servicios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Formación y concienciación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inversion.formacion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interno dedicado a seguridad (FTE equivalente)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inversion.personal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invertido en el 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inversion.total }}</w:t>
            </w:r>
          </w:p>
        </w:tc>
      </w:tr>
    </w:tbl>
    <w:bookmarkEnd w:id="32"/>
    <w:bookmarkStart w:id="33" w:name="X44c919f31388bc10d638f6fe85ee24400262d0a"/>
    <w:p>
      <w:pPr>
        <w:pStyle w:val="Heading2"/>
      </w:pPr>
      <w:r>
        <w:t xml:space="preserve">12. EVOLUCIÓN INTERANUAL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 año anterior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 año 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ev in evolucion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ev.indicador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ev.año_anterior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ev.año_actual }}</w:t>
            </w:r>
          </w:p>
        </w:tc>
      </w:tr>
    </w:tbl>
    <w:p>
      <w:pPr>
        <w:pStyle w:val="BodyText"/>
      </w:pPr>
      <w:r>
        <w:t xml:space="preserve">{% endfor %}</w:t>
      </w:r>
    </w:p>
    <w:bookmarkEnd w:id="33"/>
    <w:bookmarkStart w:id="34" w:name="X495a41e1a7c98ce07b3ddf2420037dbc1ab54e4"/>
    <w:p>
      <w:pPr>
        <w:pStyle w:val="Heading2"/>
      </w:pPr>
      <w:r>
        <w:t xml:space="preserve">13. PRINCIPALES HITOS DEL AÑO</w:t>
      </w:r>
    </w:p>
    <w:p>
      <w:pPr>
        <w:pStyle w:val="FirstParagraph"/>
      </w:pPr>
      <w:r>
        <w:t xml:space="preserve">{% for hito in hitos_año %}- {{ hito }}</w:t>
      </w:r>
      <w:r>
        <w:t xml:space="preserve"> </w:t>
      </w:r>
      <w:r>
        <w:t xml:space="preserve">{% endfor %}</w:t>
      </w:r>
    </w:p>
    <w:bookmarkEnd w:id="34"/>
    <w:bookmarkStart w:id="35" w:name="Xdc8c86e0845a3cc9b993c74f06dc482be6826fb"/>
    <w:p>
      <w:pPr>
        <w:pStyle w:val="Heading2"/>
      </w:pPr>
      <w:r>
        <w:t xml:space="preserve">14. OBJETIVOS PARA EL PRÓXIMO PERIODO</w:t>
      </w:r>
    </w:p>
    <w:p>
      <w:pPr>
        <w:pStyle w:val="FirstParagraph"/>
      </w:pPr>
      <w:r>
        <w:t xml:space="preserve">{% for obj in objetivos_proximo %}- {{ obj }}</w:t>
      </w:r>
      <w:r>
        <w:t xml:space="preserve"> </w:t>
      </w:r>
      <w:r>
        <w:t xml:space="preserve">{% endfor %}</w:t>
      </w:r>
    </w:p>
    <w:bookmarkEnd w:id="35"/>
    <w:bookmarkStart w:id="36" w:name="X064e4ab7223753c34946f02405e99809745327c"/>
    <w:p>
      <w:pPr>
        <w:pStyle w:val="Heading2"/>
      </w:pPr>
      <w:r>
        <w:t xml:space="preserve">15. CONCLUSIÓN</w:t>
      </w:r>
    </w:p>
    <w:p>
      <w:pPr>
        <w:pStyle w:val="FirstParagraph"/>
      </w:pPr>
      <w:r>
        <w:rPr>
          <w:bCs/>
          <w:b/>
        </w:rPr>
        <w:t xml:space="preserve">Estado global del ENS de {{ cliente.razon_social }}</w:t>
      </w:r>
      <w:r>
        <w:t xml:space="preserve">: {{ conclusion.estado_global }}.</w:t>
      </w:r>
    </w:p>
    <w:p>
      <w:pPr>
        <w:pStyle w:val="BodyText"/>
      </w:pPr>
      <w:r>
        <w:t xml:space="preserve">{{ conclusion.texto }}</w:t>
      </w:r>
    </w:p>
    <w:bookmarkEnd w:id="36"/>
    <w:bookmarkStart w:id="37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2026-05-18T06:49:40Z</dcterms:created>
  <dcterms:modified xsi:type="dcterms:W3CDTF">2026-05-18T06:49:40Z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