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50fc6840e759b88e2b02d1d82541c96f47cbea"/>
    <w:p>
      <w:pPr>
        <w:pStyle w:val="Heading1"/>
      </w:pPr>
      <w:r>
        <w:t xml:space="preserve">PROCEDIMIENTO DE ANÁLISIS Y GESTIÓN DE RIESGOS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}}-200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método sistemático mediante el cual {{ cliente.razon_social }} identifica, analiza, valora, trata y supervisa los riesgos de seguridad de la información que afectan a los activos comprendidos en el alcance del SGSI, conforme a la metodología MAGERIT versión 3 del Consejo Superior de Administración Electrónica, y en cumplimiento de las medidas</w:t>
      </w:r>
      <w:r>
        <w:t xml:space="preserve"> </w:t>
      </w:r>
      <w:r>
        <w:rPr>
          <w:bCs/>
          <w:b/>
        </w:rPr>
        <w:t xml:space="preserve">op.pl.1 (Análisis de riesgos)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op.pl.2 (Arquitectura de seguridad)</w:t>
      </w:r>
      <w:r>
        <w:t xml:space="preserve"> </w:t>
      </w:r>
      <w:r>
        <w:t xml:space="preserve">del Anexo II del Real Decreto 311/2022.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El presente procedimiento se aplica a todos los activos de información, sistemas, servicios, instalaciones y procesos comprendidos en el alcance del SGSI definido en el documento {{ proyecto.codigo_documento_base }}-100 (Política de Seguridad de la Información).</w:t>
      </w:r>
    </w:p>
    <w:bookmarkEnd w:id="21"/>
    <w:bookmarkStart w:id="22" w:name="definiciones-operativas"/>
    <w:p>
      <w:pPr>
        <w:pStyle w:val="Heading2"/>
      </w:pPr>
      <w:r>
        <w:t xml:space="preserve">3. DEFINICIONES OPERATIVAS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Activo:</w:t>
      </w:r>
      <w:r>
        <w:t xml:space="preserve"> </w:t>
      </w:r>
      <w:r>
        <w:t xml:space="preserve">componente o funcionalidad de un sistema de información susceptible de ser atacado deliberada o accidentalmente con consecuencias para la organización.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Amenaza:</w:t>
      </w:r>
      <w:r>
        <w:t xml:space="preserve"> </w:t>
      </w:r>
      <w:r>
        <w:t xml:space="preserve">causa potencial de un incidente que puede causar daño a los activos.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Vulnerabilidad:</w:t>
      </w:r>
      <w:r>
        <w:t xml:space="preserve"> </w:t>
      </w:r>
      <w:r>
        <w:t xml:space="preserve">debilidad de un activo que puede ser explotada por una amenaza.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Impacto:</w:t>
      </w:r>
      <w:r>
        <w:t xml:space="preserve"> </w:t>
      </w:r>
      <w:r>
        <w:t xml:space="preserve">consecuencia de la materialización de una amenaza sobre un activo.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Riesgo:</w:t>
      </w:r>
      <w:r>
        <w:t xml:space="preserve"> </w:t>
      </w:r>
      <w:r>
        <w:t xml:space="preserve">estimación del grado de exposición a que una amenaza se materialice sobre uno o más activos causando daños o perjuicios a la organización.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Riesgo intrínseco:</w:t>
      </w:r>
      <w:r>
        <w:t xml:space="preserve"> </w:t>
      </w:r>
      <w:r>
        <w:t xml:space="preserve">riesgo calculado sin considerar las salvaguardas existentes.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Riesgo residual:</w:t>
      </w:r>
      <w:r>
        <w:t xml:space="preserve"> </w:t>
      </w:r>
      <w:r>
        <w:t xml:space="preserve">riesgo remanente tras la aplicación de las salvaguardas.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Apetito de riesgo:</w:t>
      </w:r>
      <w:r>
        <w:t xml:space="preserve"> </w:t>
      </w:r>
      <w:r>
        <w:t xml:space="preserve">nivel de riesgo que la organización está dispuesta a aceptar en la consecución de sus objetivos.</w:t>
      </w:r>
    </w:p>
    <w:bookmarkEnd w:id="22"/>
    <w:bookmarkStart w:id="23" w:name="responsabilidades-matriz-raci"/>
    <w:p>
      <w:pPr>
        <w:pStyle w:val="Heading2"/>
      </w:pPr>
      <w:r>
        <w:t xml:space="preserve">4. RESPONSABILIDADES — MATRIZ RACI</w:t>
      </w:r>
    </w:p>
    <w:p>
      <w:pPr>
        <w:pStyle w:val="FirstParagraph"/>
      </w:pPr>
      <w:r>
        <w:t xml:space="preserve">Se utiliza la nomenclatura RACI estándar: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(Responsable de ejecución),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(</w:t>
      </w:r>
      <w:r>
        <w:rPr>
          <w:iCs/>
          <w:i/>
        </w:rPr>
        <w:t xml:space="preserve">Accountable</w:t>
      </w:r>
      <w:r>
        <w:t xml:space="preserve">, autoridad final),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(Consultado),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(Informado).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Órgano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Coordinación general del análisis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Identificación e inventario de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Valoración de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Identificación de amenazas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Estimación de la probabilidad y el impacto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Determinación del riesgo intrínseco y residual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Definición del Plan de Tratamiento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Aprobación del riesgo residual aceptado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Seguimiento del Plan de Tratamiento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periódica del análisis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</w:tbl>
    <w:bookmarkEnd w:id="23"/>
    <w:bookmarkStart w:id="33" w:name="descripción-del-procedimiento"/>
    <w:p>
      <w:pPr>
        <w:pStyle w:val="Heading2"/>
      </w:pPr>
      <w:r>
        <w:t xml:space="preserve">5. DESCRIPCIÓN DEL PROCEDIMIENTO</w:t>
      </w:r>
    </w:p>
    <w:bookmarkStart w:id="24" w:name="fase-1-planificación"/>
    <w:p>
      <w:pPr>
        <w:pStyle w:val="Heading3"/>
      </w:pPr>
      <w:r>
        <w:t xml:space="preserve">Fase 1 — Planificación</w:t>
      </w:r>
    </w:p>
    <w:p>
      <w:pPr>
        <w:pStyle w:val="FirstParagraph"/>
      </w:pPr>
      <w:r>
        <w:rPr>
          <w:bCs/>
          <w:b/>
        </w:rPr>
        <w:t xml:space="preserve">Paso 1.1.</w:t>
      </w:r>
      <w:r>
        <w:t xml:space="preserve"> </w:t>
      </w:r>
      <w:r>
        <w:t xml:space="preserve">El Responsable de la Seguridad elaborará anualmente, durante el mes de enero, un</w:t>
      </w:r>
      <w:r>
        <w:t xml:space="preserve"> </w:t>
      </w:r>
      <w:r>
        <w:rPr>
          <w:bCs/>
          <w:b/>
        </w:rPr>
        <w:t xml:space="preserve">Plan Anual de Análisis de Riesgos</w:t>
      </w:r>
      <w:r>
        <w:t xml:space="preserve"> </w:t>
      </w:r>
      <w:r>
        <w:t xml:space="preserve">que defina:</w:t>
      </w:r>
    </w:p>
    <w:p>
      <w:pPr>
        <w:numPr>
          <w:ilvl w:val="0"/>
          <w:numId w:val="1002"/>
        </w:numPr>
        <w:pStyle w:val="Compact"/>
      </w:pPr>
      <w:r>
        <w:t xml:space="preserve">Alcance específico del análisis para el ejercicio.</w:t>
      </w:r>
    </w:p>
    <w:p>
      <w:pPr>
        <w:numPr>
          <w:ilvl w:val="0"/>
          <w:numId w:val="1002"/>
        </w:numPr>
        <w:pStyle w:val="Compact"/>
      </w:pPr>
      <w:r>
        <w:t xml:space="preserve">Metodología y herramientas a utilizar (por defecto MAGERIT v3 con apoyo de la herramienta PILAR del Centro Criptológico Nacional cuando proceda).</w:t>
      </w:r>
    </w:p>
    <w:p>
      <w:pPr>
        <w:numPr>
          <w:ilvl w:val="0"/>
          <w:numId w:val="1002"/>
        </w:numPr>
        <w:pStyle w:val="Compact"/>
      </w:pPr>
      <w:r>
        <w:t xml:space="preserve">Equipo de trabajo y roles asignados.</w:t>
      </w:r>
    </w:p>
    <w:p>
      <w:pPr>
        <w:numPr>
          <w:ilvl w:val="0"/>
          <w:numId w:val="1002"/>
        </w:numPr>
        <w:pStyle w:val="Compact"/>
      </w:pPr>
      <w:r>
        <w:t xml:space="preserve">Calendario de las distintas fases.</w:t>
      </w:r>
    </w:p>
    <w:p>
      <w:pPr>
        <w:numPr>
          <w:ilvl w:val="0"/>
          <w:numId w:val="1002"/>
        </w:numPr>
        <w:pStyle w:val="Compact"/>
      </w:pPr>
      <w:r>
        <w:t xml:space="preserve">Criterios de aceptación del riesgo residual.</w:t>
      </w:r>
    </w:p>
    <w:p>
      <w:pPr>
        <w:pStyle w:val="FirstParagraph"/>
      </w:pPr>
      <w:r>
        <w:rPr>
          <w:bCs/>
          <w:b/>
        </w:rPr>
        <w:t xml:space="preserve">Paso 1.2.</w:t>
      </w:r>
      <w:r>
        <w:t xml:space="preserve"> </w:t>
      </w:r>
      <w:r>
        <w:t xml:space="preserve">El Plan Anual será aprobado por el Comité de Seguridad en su primera reunión ordinaria del año.</w:t>
      </w:r>
    </w:p>
    <w:bookmarkEnd w:id="24"/>
    <w:bookmarkStart w:id="25" w:name="Xa97071215f8a1f236fe4b136df32539b9d56455"/>
    <w:p>
      <w:pPr>
        <w:pStyle w:val="Heading3"/>
      </w:pPr>
      <w:r>
        <w:t xml:space="preserve">Fase 2 — Identificación e inventario de activos</w:t>
      </w:r>
    </w:p>
    <w:p>
      <w:pPr>
        <w:pStyle w:val="FirstParagraph"/>
      </w:pPr>
      <w:r>
        <w:rPr>
          <w:bCs/>
          <w:b/>
        </w:rPr>
        <w:t xml:space="preserve">Paso 2.1.</w:t>
      </w:r>
      <w:r>
        <w:t xml:space="preserve"> </w:t>
      </w:r>
      <w:r>
        <w:t xml:space="preserve">El Responsable del Sistema mantendrá actualizado el</w:t>
      </w:r>
      <w:r>
        <w:t xml:space="preserve"> </w:t>
      </w:r>
      <w:r>
        <w:rPr>
          <w:bCs/>
          <w:b/>
        </w:rPr>
        <w:t xml:space="preserve">Inventario de Activos</w:t>
      </w:r>
      <w:r>
        <w:t xml:space="preserve"> </w:t>
      </w:r>
      <w:r>
        <w:t xml:space="preserve">del sistema, conforme al formulario del Anexo I del presente procedimiento, identificando para cada activo:</w:t>
      </w:r>
    </w:p>
    <w:p>
      <w:pPr>
        <w:numPr>
          <w:ilvl w:val="0"/>
          <w:numId w:val="1003"/>
        </w:numPr>
        <w:pStyle w:val="Compact"/>
      </w:pPr>
      <w:r>
        <w:t xml:space="preserve">Identificador único.</w:t>
      </w:r>
    </w:p>
    <w:p>
      <w:pPr>
        <w:numPr>
          <w:ilvl w:val="0"/>
          <w:numId w:val="1003"/>
        </w:numPr>
        <w:pStyle w:val="Compact"/>
      </w:pPr>
      <w:r>
        <w:t xml:space="preserve">Descripción y tipología (servicio, información, software, hardware, instalación, personal, etc.) conforme a la taxonomía de MAGERIT v3.</w:t>
      </w:r>
    </w:p>
    <w:p>
      <w:pPr>
        <w:numPr>
          <w:ilvl w:val="0"/>
          <w:numId w:val="1003"/>
        </w:numPr>
        <w:pStyle w:val="Compact"/>
      </w:pPr>
      <w:r>
        <w:t xml:space="preserve">Propietario.</w:t>
      </w:r>
    </w:p>
    <w:p>
      <w:pPr>
        <w:numPr>
          <w:ilvl w:val="0"/>
          <w:numId w:val="1003"/>
        </w:numPr>
        <w:pStyle w:val="Compact"/>
      </w:pPr>
      <w:r>
        <w:t xml:space="preserve">Custodio.</w:t>
      </w:r>
    </w:p>
    <w:p>
      <w:pPr>
        <w:numPr>
          <w:ilvl w:val="0"/>
          <w:numId w:val="1003"/>
        </w:numPr>
        <w:pStyle w:val="Compact"/>
      </w:pPr>
      <w:r>
        <w:t xml:space="preserve">Localización física o lógica.</w:t>
      </w:r>
    </w:p>
    <w:p>
      <w:pPr>
        <w:numPr>
          <w:ilvl w:val="0"/>
          <w:numId w:val="1003"/>
        </w:numPr>
        <w:pStyle w:val="Compact"/>
      </w:pPr>
      <w:r>
        <w:t xml:space="preserve">Dependencias con otros activos.</w:t>
      </w:r>
    </w:p>
    <w:p>
      <w:pPr>
        <w:pStyle w:val="FirstParagraph"/>
      </w:pPr>
      <w:r>
        <w:rPr>
          <w:bCs/>
          <w:b/>
        </w:rPr>
        <w:t xml:space="preserve">Paso 2.2.</w:t>
      </w:r>
      <w:r>
        <w:t xml:space="preserve"> </w:t>
      </w:r>
      <w:r>
        <w:t xml:space="preserve">El inventario se revisará al menos con carácter semestral y siempre que se produzca un alta, baja o modificación significativa de un activo.</w:t>
      </w:r>
    </w:p>
    <w:bookmarkEnd w:id="25"/>
    <w:bookmarkStart w:id="26" w:name="fase-3-valoración-de-activos"/>
    <w:p>
      <w:pPr>
        <w:pStyle w:val="Heading3"/>
      </w:pPr>
      <w:r>
        <w:t xml:space="preserve">Fase 3 — Valoración de activos</w:t>
      </w:r>
    </w:p>
    <w:p>
      <w:pPr>
        <w:pStyle w:val="FirstParagraph"/>
      </w:pPr>
      <w:r>
        <w:rPr>
          <w:bCs/>
          <w:b/>
        </w:rPr>
        <w:t xml:space="preserve">Paso 3.1.</w:t>
      </w:r>
      <w:r>
        <w:t xml:space="preserve"> </w:t>
      </w:r>
      <w:r>
        <w:t xml:space="preserve">Los Responsables de la Información y del Servicio, en coordinación con el Responsable de la Seguridad, valorarán cada activo en las cinco dimensiones de seguridad del Anexo I del ENS: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Confidencialidad (C)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Integridad (I)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Trazabilidad (T)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Autenticidad (Au)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Disponibilidad (D)</w:t>
      </w:r>
    </w:p>
    <w:p>
      <w:pPr>
        <w:pStyle w:val="FirstParagraph"/>
      </w:pPr>
      <w:r>
        <w:rPr>
          <w:bCs/>
          <w:b/>
        </w:rPr>
        <w:t xml:space="preserve">Paso 3.2.</w:t>
      </w:r>
      <w:r>
        <w:t xml:space="preserve"> </w:t>
      </w:r>
      <w:r>
        <w:t xml:space="preserve">La valoración se expresará en los niveles</w:t>
      </w:r>
      <w:r>
        <w:t xml:space="preserve"> </w:t>
      </w:r>
      <w:r>
        <w:rPr>
          <w:bCs/>
          <w:b/>
        </w:rPr>
        <w:t xml:space="preserve">BAJO</w:t>
      </w:r>
      <w:r>
        <w:t xml:space="preserve">,</w:t>
      </w:r>
      <w:r>
        <w:t xml:space="preserve"> </w:t>
      </w:r>
      <w:r>
        <w:rPr>
          <w:bCs/>
          <w:b/>
        </w:rPr>
        <w:t xml:space="preserve">MEDIO</w:t>
      </w:r>
      <w:r>
        <w:t xml:space="preserve">,</w:t>
      </w:r>
      <w:r>
        <w:t xml:space="preserve"> </w:t>
      </w:r>
      <w:r>
        <w:rPr>
          <w:bCs/>
          <w:b/>
        </w:rPr>
        <w:t xml:space="preserve">ALTO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(No Aplicable), conforme a los criterios cualitativos del Anexo I del ENS y a la guía CCN-STIC 803.</w:t>
      </w:r>
    </w:p>
    <w:p>
      <w:pPr>
        <w:pStyle w:val="BodyText"/>
      </w:pPr>
      <w:r>
        <w:rPr>
          <w:bCs/>
          <w:b/>
        </w:rPr>
        <w:t xml:space="preserve">Paso 3.3.</w:t>
      </w:r>
      <w:r>
        <w:t xml:space="preserve"> </w:t>
      </w:r>
      <w:r>
        <w:t xml:space="preserve">La valoración consolidada del activo se utilizará posteriormente para determinar su categoría de seguridad y, por agregación, la categoría del sistema completo.</w:t>
      </w:r>
    </w:p>
    <w:bookmarkEnd w:id="26"/>
    <w:bookmarkStart w:id="27" w:name="fase-4-identificación-de-amenazas"/>
    <w:p>
      <w:pPr>
        <w:pStyle w:val="Heading3"/>
      </w:pPr>
      <w:r>
        <w:t xml:space="preserve">Fase 4 — Identificación de amenazas</w:t>
      </w:r>
    </w:p>
    <w:p>
      <w:pPr>
        <w:pStyle w:val="FirstParagraph"/>
      </w:pPr>
      <w:r>
        <w:rPr>
          <w:bCs/>
          <w:b/>
        </w:rPr>
        <w:t xml:space="preserve">Paso 4.1.</w:t>
      </w:r>
      <w:r>
        <w:t xml:space="preserve"> </w:t>
      </w:r>
      <w:r>
        <w:t xml:space="preserve">El Responsable de la Seguridad, partiendo del</w:t>
      </w:r>
      <w:r>
        <w:t xml:space="preserve"> </w:t>
      </w:r>
      <w:r>
        <w:rPr>
          <w:bCs/>
          <w:b/>
        </w:rPr>
        <w:t xml:space="preserve">Catálogo de Amenazas</w:t>
      </w:r>
      <w:r>
        <w:t xml:space="preserve"> </w:t>
      </w:r>
      <w:r>
        <w:t xml:space="preserve">de MAGERIT v3 (Libro II), identificará las amenazas relevantes para cada tipo de activo, agrupadas en las siguientes categorías:</w:t>
      </w:r>
    </w:p>
    <w:p>
      <w:pPr>
        <w:numPr>
          <w:ilvl w:val="0"/>
          <w:numId w:val="1005"/>
        </w:numPr>
        <w:pStyle w:val="Compact"/>
      </w:pPr>
      <w:r>
        <w:t xml:space="preserve">Desastres naturales</w:t>
      </w:r>
    </w:p>
    <w:p>
      <w:pPr>
        <w:numPr>
          <w:ilvl w:val="0"/>
          <w:numId w:val="1005"/>
        </w:numPr>
        <w:pStyle w:val="Compact"/>
      </w:pPr>
      <w:r>
        <w:t xml:space="preserve">De origen industrial</w:t>
      </w:r>
    </w:p>
    <w:p>
      <w:pPr>
        <w:numPr>
          <w:ilvl w:val="0"/>
          <w:numId w:val="1005"/>
        </w:numPr>
        <w:pStyle w:val="Compact"/>
      </w:pPr>
      <w:r>
        <w:t xml:space="preserve">Errores y fallos no intencionados</w:t>
      </w:r>
    </w:p>
    <w:p>
      <w:pPr>
        <w:numPr>
          <w:ilvl w:val="0"/>
          <w:numId w:val="1005"/>
        </w:numPr>
        <w:pStyle w:val="Compact"/>
      </w:pPr>
      <w:r>
        <w:t xml:space="preserve">Ataques intencionados</w:t>
      </w:r>
    </w:p>
    <w:p>
      <w:pPr>
        <w:pStyle w:val="FirstParagraph"/>
      </w:pPr>
      <w:r>
        <w:rPr>
          <w:bCs/>
          <w:b/>
        </w:rPr>
        <w:t xml:space="preserve">Paso 4.2.</w:t>
      </w:r>
      <w:r>
        <w:t xml:space="preserve"> </w:t>
      </w:r>
      <w:r>
        <w:t xml:space="preserve">Adicionalmente, se incorporarán las amenazas específicas detectadas en:</w:t>
      </w:r>
    </w:p>
    <w:p>
      <w:pPr>
        <w:numPr>
          <w:ilvl w:val="0"/>
          <w:numId w:val="1006"/>
        </w:numPr>
        <w:pStyle w:val="Compact"/>
      </w:pPr>
      <w:r>
        <w:t xml:space="preserve">Informes recientes del CCN-CERT y del INCIBE-CERT.</w:t>
      </w:r>
    </w:p>
    <w:p>
      <w:pPr>
        <w:numPr>
          <w:ilvl w:val="0"/>
          <w:numId w:val="1006"/>
        </w:numPr>
        <w:pStyle w:val="Compact"/>
      </w:pPr>
      <w:r>
        <w:t xml:space="preserve">Análisis de tendencias del MITRE ATT&amp;CK.</w:t>
      </w:r>
    </w:p>
    <w:p>
      <w:pPr>
        <w:numPr>
          <w:ilvl w:val="0"/>
          <w:numId w:val="1006"/>
        </w:numPr>
        <w:pStyle w:val="Compact"/>
      </w:pPr>
      <w:r>
        <w:t xml:space="preserve">Lecciones aprendidas de incidentes previos en la propia Entidad.</w:t>
      </w:r>
    </w:p>
    <w:bookmarkEnd w:id="27"/>
    <w:bookmarkStart w:id="28" w:name="fase-5-estimación-del-riesgo-intrínseco"/>
    <w:p>
      <w:pPr>
        <w:pStyle w:val="Heading3"/>
      </w:pPr>
      <w:r>
        <w:t xml:space="preserve">Fase 5 — Estimación del riesgo intrínseco</w:t>
      </w:r>
    </w:p>
    <w:p>
      <w:pPr>
        <w:pStyle w:val="FirstParagraph"/>
      </w:pPr>
      <w:r>
        <w:rPr>
          <w:bCs/>
          <w:b/>
        </w:rPr>
        <w:t xml:space="preserve">Paso 5.1.</w:t>
      </w:r>
      <w:r>
        <w:t xml:space="preserve"> </w:t>
      </w:r>
      <w:r>
        <w:t xml:space="preserve">Para cada par activo-amenaza relevante, el Responsable de la Seguridad estimará: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Probabilidad</w:t>
      </w:r>
      <w:r>
        <w:t xml:space="preserve"> </w:t>
      </w:r>
      <w:r>
        <w:t xml:space="preserve">de materialización de la amenaza, en escala cualitativa: MUY BAJA / BAJA / MEDIA / ALTA / MUY ALTA.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Impacto</w:t>
      </w:r>
      <w:r>
        <w:t xml:space="preserve"> </w:t>
      </w:r>
      <w:r>
        <w:t xml:space="preserve">sobre cada dimensión de seguridad del activo, en la misma escala.</w:t>
      </w:r>
    </w:p>
    <w:p>
      <w:pPr>
        <w:pStyle w:val="FirstParagraph"/>
      </w:pPr>
      <w:r>
        <w:rPr>
          <w:bCs/>
          <w:b/>
        </w:rPr>
        <w:t xml:space="preserve">Paso 5.2.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riesgo intrínseco</w:t>
      </w:r>
      <w:r>
        <w:t xml:space="preserve"> </w:t>
      </w:r>
      <w:r>
        <w:t xml:space="preserve">se calculará mediante la matriz de riesgo del Anexo II del presente procedimiento, que sigue las directrices de MAGERIT v3.</w:t>
      </w:r>
    </w:p>
    <w:bookmarkEnd w:id="28"/>
    <w:bookmarkStart w:id="29" w:name="X545667574dcd7795d12514b8b1df72d93f1aeaa"/>
    <w:p>
      <w:pPr>
        <w:pStyle w:val="Heading3"/>
      </w:pPr>
      <w:r>
        <w:t xml:space="preserve">Fase 6 — Identificación de salvaguardas existentes y cálculo del riesgo residual</w:t>
      </w:r>
    </w:p>
    <w:p>
      <w:pPr>
        <w:pStyle w:val="FirstParagraph"/>
      </w:pPr>
      <w:r>
        <w:rPr>
          <w:bCs/>
          <w:b/>
        </w:rPr>
        <w:t xml:space="preserve">Paso 6.1.</w:t>
      </w:r>
      <w:r>
        <w:t xml:space="preserve"> </w:t>
      </w:r>
      <w:r>
        <w:t xml:space="preserve">El Responsable del Sistema, en coordinación con el Responsable de la Seguridad, identificará las</w:t>
      </w:r>
      <w:r>
        <w:t xml:space="preserve"> </w:t>
      </w:r>
      <w:r>
        <w:rPr>
          <w:bCs/>
          <w:b/>
        </w:rPr>
        <w:t xml:space="preserve">salvaguardas</w:t>
      </w:r>
      <w:r>
        <w:t xml:space="preserve"> </w:t>
      </w:r>
      <w:r>
        <w:t xml:space="preserve">(medidas de seguridad) ya implantadas que mitigan cada riesgo identificado.</w:t>
      </w:r>
    </w:p>
    <w:p>
      <w:pPr>
        <w:pStyle w:val="BodyText"/>
      </w:pPr>
      <w:r>
        <w:rPr>
          <w:bCs/>
          <w:b/>
        </w:rPr>
        <w:t xml:space="preserve">Paso 6.2.</w:t>
      </w:r>
      <w:r>
        <w:t xml:space="preserve"> </w:t>
      </w:r>
      <w:r>
        <w:t xml:space="preserve">Para cada salvaguarda se evaluará su</w:t>
      </w:r>
      <w:r>
        <w:t xml:space="preserve"> </w:t>
      </w:r>
      <w:r>
        <w:rPr>
          <w:bCs/>
          <w:b/>
        </w:rPr>
        <w:t xml:space="preserve">eficacia</w:t>
      </w:r>
      <w:r>
        <w:t xml:space="preserve"> </w:t>
      </w:r>
      <w:r>
        <w:t xml:space="preserve">en escala cualitativa: NULA / BAJA / MEDIA / ALTA / MUY ALTA.</w:t>
      </w:r>
    </w:p>
    <w:p>
      <w:pPr>
        <w:pStyle w:val="BodyText"/>
      </w:pPr>
      <w:r>
        <w:rPr>
          <w:bCs/>
          <w:b/>
        </w:rPr>
        <w:t xml:space="preserve">Paso 6.3.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riesgo residual</w:t>
      </w:r>
      <w:r>
        <w:t xml:space="preserve"> </w:t>
      </w:r>
      <w:r>
        <w:t xml:space="preserve">resulta de aplicar el factor de eficacia de las salvaguardas existentes al riesgo intrínseco.</w:t>
      </w:r>
    </w:p>
    <w:bookmarkEnd w:id="29"/>
    <w:bookmarkStart w:id="30" w:name="fase-7-tratamiento-del-riesgo"/>
    <w:p>
      <w:pPr>
        <w:pStyle w:val="Heading3"/>
      </w:pPr>
      <w:r>
        <w:t xml:space="preserve">Fase 7 — Tratamiento del riesgo</w:t>
      </w:r>
    </w:p>
    <w:p>
      <w:pPr>
        <w:pStyle w:val="FirstParagraph"/>
      </w:pPr>
      <w:r>
        <w:rPr>
          <w:bCs/>
          <w:b/>
        </w:rPr>
        <w:t xml:space="preserve">Paso 7.1.</w:t>
      </w:r>
      <w:r>
        <w:t xml:space="preserve"> </w:t>
      </w:r>
      <w:r>
        <w:t xml:space="preserve">Para cada riesgo cuya valoración residual exceda el</w:t>
      </w:r>
      <w:r>
        <w:t xml:space="preserve"> </w:t>
      </w:r>
      <w:r>
        <w:rPr>
          <w:bCs/>
          <w:b/>
        </w:rPr>
        <w:t xml:space="preserve">umbral de aceptación</w:t>
      </w:r>
      <w:r>
        <w:t xml:space="preserve"> </w:t>
      </w:r>
      <w:r>
        <w:t xml:space="preserve">definido en el Plan Anual, el Responsable de la Seguridad propondrá una de las siguientes opciones de tratamiento: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aplicar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Implantar salvaguardas adicionales que reduzcan el riesgo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Opción por defecto si es viable técnica y económicamente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Trasladar el riesgo a un tercero (seguros, externalización, contratos)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coste de mitigación es desproporcionado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el activo, servicio o proceso que genera el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riesgo es inasumible y la actividad prescindible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Aceptar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Asumir el riesgo residual de forma documentada y motivada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se sitúa por debajo del umbral o cuando no existe alternativa viable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Paso 7.2.</w:t>
      </w:r>
      <w:r>
        <w:t xml:space="preserve"> </w:t>
      </w:r>
      <w:r>
        <w:t xml:space="preserve">El conjunto de decisiones de tratamiento conformará el</w:t>
      </w:r>
      <w:r>
        <w:t xml:space="preserve"> </w:t>
      </w:r>
      <w:r>
        <w:rPr>
          <w:bCs/>
          <w:b/>
        </w:rPr>
        <w:t xml:space="preserve">Plan de Tratamiento de Riesgos</w:t>
      </w:r>
      <w:r>
        <w:t xml:space="preserve">, que incluirá para cada riesgo a mitigar:</w:t>
      </w:r>
    </w:p>
    <w:p>
      <w:pPr>
        <w:numPr>
          <w:ilvl w:val="0"/>
          <w:numId w:val="1008"/>
        </w:numPr>
        <w:pStyle w:val="Compact"/>
      </w:pPr>
      <w:r>
        <w:t xml:space="preserve">Acciones concretas a emprender.</w:t>
      </w:r>
    </w:p>
    <w:p>
      <w:pPr>
        <w:numPr>
          <w:ilvl w:val="0"/>
          <w:numId w:val="1008"/>
        </w:numPr>
        <w:pStyle w:val="Compact"/>
      </w:pPr>
      <w:r>
        <w:t xml:space="preserve">Responsable de la ejecución.</w:t>
      </w:r>
    </w:p>
    <w:p>
      <w:pPr>
        <w:numPr>
          <w:ilvl w:val="0"/>
          <w:numId w:val="1008"/>
        </w:numPr>
        <w:pStyle w:val="Compact"/>
      </w:pPr>
      <w:r>
        <w:t xml:space="preserve">Plazo de implantación.</w:t>
      </w:r>
    </w:p>
    <w:p>
      <w:pPr>
        <w:numPr>
          <w:ilvl w:val="0"/>
          <w:numId w:val="1008"/>
        </w:numPr>
        <w:pStyle w:val="Compact"/>
      </w:pPr>
      <w:r>
        <w:t xml:space="preserve">Recursos necesarios (humanos, técnicos, económicos).</w:t>
      </w:r>
    </w:p>
    <w:p>
      <w:pPr>
        <w:numPr>
          <w:ilvl w:val="0"/>
          <w:numId w:val="1008"/>
        </w:numPr>
        <w:pStyle w:val="Compact"/>
      </w:pPr>
      <w:r>
        <w:t xml:space="preserve">Indicador de cierre.</w:t>
      </w:r>
    </w:p>
    <w:p>
      <w:pPr>
        <w:pStyle w:val="FirstParagraph"/>
      </w:pPr>
      <w:r>
        <w:rPr>
          <w:bCs/>
          <w:b/>
        </w:rPr>
        <w:t xml:space="preserve">Paso 7.3.</w:t>
      </w:r>
      <w:r>
        <w:t xml:space="preserve"> </w:t>
      </w:r>
      <w:r>
        <w:t xml:space="preserve">El Plan de Tratamiento será revisado por el Comité de Seguridad y aprobado, en lo que respecta a la</w:t>
      </w:r>
      <w:r>
        <w:t xml:space="preserve"> </w:t>
      </w:r>
      <w:r>
        <w:rPr>
          <w:bCs/>
          <w:b/>
        </w:rPr>
        <w:t xml:space="preserve">aceptación de riesgos residuales significativos</w:t>
      </w:r>
      <w:r>
        <w:t xml:space="preserve">, por {{ cliente.organo_aprobador_politicas }}.</w:t>
      </w:r>
    </w:p>
    <w:bookmarkEnd w:id="30"/>
    <w:bookmarkStart w:id="31" w:name="fase-8-seguimiento"/>
    <w:p>
      <w:pPr>
        <w:pStyle w:val="Heading3"/>
      </w:pPr>
      <w:r>
        <w:t xml:space="preserve">Fase 8 — Seguimiento</w:t>
      </w:r>
    </w:p>
    <w:p>
      <w:pPr>
        <w:pStyle w:val="FirstParagraph"/>
      </w:pPr>
      <w:r>
        <w:rPr>
          <w:bCs/>
          <w:b/>
        </w:rPr>
        <w:t xml:space="preserve">Paso 8.1.</w:t>
      </w:r>
      <w:r>
        <w:t xml:space="preserve"> </w:t>
      </w:r>
      <w:r>
        <w:t xml:space="preserve">El Responsable de la Seguridad realizará un seguimiento mensual del avance del Plan de Tratamiento, registrando el porcentaje de avance, las desviaciones y las acciones correctivas adoptadas.</w:t>
      </w:r>
    </w:p>
    <w:p>
      <w:pPr>
        <w:pStyle w:val="BodyText"/>
      </w:pPr>
      <w:r>
        <w:rPr>
          <w:bCs/>
          <w:b/>
        </w:rPr>
        <w:t xml:space="preserve">Paso 8.2.</w:t>
      </w:r>
      <w:r>
        <w:t xml:space="preserve"> </w:t>
      </w:r>
      <w:r>
        <w:t xml:space="preserve">El estado del Plan se reportará al Comité de Seguridad en sus reuniones ordinarias.</w:t>
      </w:r>
    </w:p>
    <w:bookmarkEnd w:id="31"/>
    <w:bookmarkStart w:id="32" w:name="fase-9-revisión-periódica"/>
    <w:p>
      <w:pPr>
        <w:pStyle w:val="Heading3"/>
      </w:pPr>
      <w:r>
        <w:t xml:space="preserve">Fase 9 — Revisión periódica</w:t>
      </w:r>
    </w:p>
    <w:p>
      <w:pPr>
        <w:pStyle w:val="FirstParagraph"/>
      </w:pPr>
      <w:r>
        <w:rPr>
          <w:bCs/>
          <w:b/>
        </w:rPr>
        <w:t xml:space="preserve">Paso 9.1.</w:t>
      </w:r>
      <w:r>
        <w:t xml:space="preserve"> </w:t>
      </w:r>
      <w:r>
        <w:t xml:space="preserve">El análisis completo se revisará con carácter ordinario al menos una vez al año.</w:t>
      </w:r>
    </w:p>
    <w:p>
      <w:pPr>
        <w:pStyle w:val="BodyText"/>
      </w:pPr>
      <w:r>
        <w:rPr>
          <w:bCs/>
          <w:b/>
        </w:rPr>
        <w:t xml:space="preserve">Paso 9.2.</w:t>
      </w:r>
      <w:r>
        <w:t xml:space="preserve"> </w:t>
      </w:r>
      <w:r>
        <w:t xml:space="preserve">Se realizarán revisiones extraordinarias siempre que se produzca alguna de las siguientes circunstancias:</w:t>
      </w:r>
    </w:p>
    <w:p>
      <w:pPr>
        <w:numPr>
          <w:ilvl w:val="0"/>
          <w:numId w:val="1009"/>
        </w:numPr>
        <w:pStyle w:val="Compact"/>
      </w:pPr>
      <w:r>
        <w:t xml:space="preserve">Cambios significativos en el alcance del sistema.</w:t>
      </w:r>
    </w:p>
    <w:p>
      <w:pPr>
        <w:numPr>
          <w:ilvl w:val="0"/>
          <w:numId w:val="1009"/>
        </w:numPr>
        <w:pStyle w:val="Compact"/>
      </w:pPr>
      <w:r>
        <w:t xml:space="preserve">Incorporación de nuevos activos críticos.</w:t>
      </w:r>
    </w:p>
    <w:p>
      <w:pPr>
        <w:numPr>
          <w:ilvl w:val="0"/>
          <w:numId w:val="1009"/>
        </w:numPr>
        <w:pStyle w:val="Compact"/>
      </w:pPr>
      <w:r>
        <w:t xml:space="preserve">Aparición de nuevas amenazas relevantes.</w:t>
      </w:r>
    </w:p>
    <w:p>
      <w:pPr>
        <w:numPr>
          <w:ilvl w:val="0"/>
          <w:numId w:val="1009"/>
        </w:numPr>
        <w:pStyle w:val="Compact"/>
      </w:pPr>
      <w:r>
        <w:t xml:space="preserve">Materialización de un incidente grave.</w:t>
      </w:r>
    </w:p>
    <w:p>
      <w:pPr>
        <w:numPr>
          <w:ilvl w:val="0"/>
          <w:numId w:val="1009"/>
        </w:numPr>
        <w:pStyle w:val="Compact"/>
      </w:pPr>
      <w:r>
        <w:t xml:space="preserve">Modificaciones del marco legal aplicable.</w:t>
      </w:r>
    </w:p>
    <w:p>
      <w:pPr>
        <w:numPr>
          <w:ilvl w:val="0"/>
          <w:numId w:val="1009"/>
        </w:numPr>
        <w:pStyle w:val="Compact"/>
      </w:pPr>
      <w:r>
        <w:t xml:space="preserve">Conclusiones de auditorías que así lo aconsejen.</w:t>
      </w:r>
    </w:p>
    <w:bookmarkEnd w:id="32"/>
    <w:bookmarkEnd w:id="33"/>
    <w:bookmarkStart w:id="34" w:name="registros-generados"/>
    <w:p>
      <w:pPr>
        <w:pStyle w:val="Heading2"/>
      </w:pPr>
      <w:r>
        <w:t xml:space="preserve">6. REGISTROS GENERADOS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 de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SGSI + 5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Anual de Análisis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la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de Análisis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la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Tratamiento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la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aprobación de riesgos residuales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Secretario del Comité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mensual de seguimiento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la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años</w:t>
            </w:r>
          </w:p>
        </w:tc>
      </w:tr>
    </w:tbl>
    <w:bookmarkEnd w:id="34"/>
    <w:bookmarkStart w:id="35" w:name="indicadores-de-control"/>
    <w:p>
      <w:pPr>
        <w:pStyle w:val="Heading2"/>
      </w:pPr>
      <w:r>
        <w:t xml:space="preserve">7. INDICADORES DE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Umbral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del 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(activos analizados / activos totales)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Riesgos aceptados sobre umbral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riesgos aceptados sin mitigación con valor &gt; umbral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Cumplimiento del Plan de Tratamiento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(acciones cerradas en plazo / acciones totales)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Antigüedad del 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desde la última revisión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12</w:t>
            </w:r>
          </w:p>
        </w:tc>
      </w:tr>
    </w:tbl>
    <w:bookmarkEnd w:id="35"/>
    <w:bookmarkStart w:id="36" w:name="anexos"/>
    <w:p>
      <w:pPr>
        <w:pStyle w:val="Heading2"/>
      </w:pPr>
      <w:r>
        <w:t xml:space="preserve">8. ANEXOS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Formulario de Inventario de Activos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Matriz de cálculo de Riesgo (Probabilidad × Impacto)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Catálogo de Amenazas adaptado de MAGERIT v3 Libro II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Plantilla del Informe de Análisis de Riesgos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Anexo V:</w:t>
      </w:r>
      <w:r>
        <w:t xml:space="preserve"> </w:t>
      </w:r>
      <w:r>
        <w:t xml:space="preserve">Plantilla del Plan de Tratamiento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}}-200 — Versión {{ proyecto.version_actual }} — Clasificación: INTERNA</w:t>
      </w:r>
    </w:p>
    <w:bookmarkEnd w:id="36"/>
    <w:bookmarkEnd w:id="37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E-AR-001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E-AR-001 · Documento E-AR-001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Comité de Seguridad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}}-200</vt:lpwstr>
  </property>
  <property fmtid="{D5CDD505-2E9C-101B-9397-08002B2CF9AE}" pid="5" name="fecha_aprobacion">
    <vt:lpwstr>{{ proyecto.fecha_aprobacion_inicial }}</vt:lpwstr>
  </property>
  <property fmtid="{D5CDD505-2E9C-101B-9397-08002B2CF9AE}" pid="6" name="fecha_proxima_revision">
    <vt:lpwstr>{{ proyecto.proxima_revision }}</vt:lpwstr>
  </property>
  <property fmtid="{D5CDD505-2E9C-101B-9397-08002B2CF9AE}" pid="7" name="politica_madre">
    <vt:lpwstr>{{ proyecto.codigo_documento_base }}-100</vt:lpwstr>
  </property>
  <property fmtid="{D5CDD505-2E9C-101B-9397-08002B2CF9AE}" pid="8" name="propietario">
    <vt:lpwstr>{{ responsables.responsable_seguridad.cargo }}</vt:lpwstr>
  </property>
  <property fmtid="{D5CDD505-2E9C-101B-9397-08002B2CF9AE}" pid="9" name="titulo">
    <vt:lpwstr>Procedimiento de Análisis y Gestión de Riesgos</vt:lpwstr>
  </property>
  <property fmtid="{D5CDD505-2E9C-101B-9397-08002B2CF9AE}" pid="10" name="version">
    <vt:lpwstr>{{ proyecto.version_actual }}</vt:lpwstr>
  </property>
</Properties>
</file>