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08cf69fa6a723e06a8683cfd70b6d6783e84f3"/>
    <w:p>
      <w:pPr>
        <w:pStyle w:val="Heading1"/>
      </w:pPr>
      <w:r>
        <w:t xml:space="preserve">RIESGOS DEL PROYECTO ENS — {{ cliente.razon_social }}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Estos son riesgos del PROYECTO (gestión), no del SISTEMA (seguridad). El análisis de riesgos MAGERIT del sistema se hace en la Fase 1.</w:t>
      </w:r>
    </w:p>
    <w:bookmarkStart w:id="20" w:name="registro-de-riesgos"/>
    <w:p>
      <w:pPr>
        <w:pStyle w:val="Heading2"/>
      </w:pPr>
      <w:r>
        <w:t xml:space="preserve">REGISTRO DE RIESGOS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cliente no proporciona la documentación existente en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Cláusula 5bis + escalado al sponsor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sponsor pierde interés o cambia de 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sponsor alternativo en la exploratoria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Madurez real muy inferior a la declarada en la exploratoria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exhaustivo en Fase 1 antes de comprometer el cronograma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normativo durante el proyecto (modificación del RD 311/2022)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>Monitorización continuada del BOE y avisos CCN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externo detecta NC mayor no prevista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interna exhaustiva en Fase 4 con simulacro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 crítico del cliente no colabora (no entrega evidencias)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Presionar vía cláusula contractual cliente-proveedor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 del cliente insuficiente para las inversiones técnicas identificadas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alternativas open source / low cost</w:t>
            </w:r>
          </w:p>
        </w:tc>
      </w:tr>
    </w:tbl>
    <w:p>
      <w:pPr>
        <w:pStyle w:val="BodyText"/>
      </w:pPr>
      <w:r>
        <w:t>{% for riesgo in proyecto.riesgos_adicionales %} | R-{{ ‘%02d’ % (loop.index + 7) }} | {{ riesgo.descripcion }} | {{ riesgo.probabilidad }} | {{ riesgo.impacto }} | {{ riesgo.nivel }} | {{ riesgo.mitigacion }} | {% endfor %}</w:t>
      </w:r>
    </w:p>
    <w:bookmarkEnd w:id="20"/>
    <w:bookmarkEnd w:id="21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F-007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F-007 · Plan de Riesgos del Proyecto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_documento">
    <vt:lpwstr>F-007</vt:lpwstr>
  </property>
  <property fmtid="{D5CDD505-2E9C-101B-9397-08002B2CF9AE}" pid="3" name="titulo">
    <vt:lpwstr>Plan de Gestión de Riesgos del Proyecto</vt:lpwstr>
  </property>
</Properties>
</file>