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b3d838280a75c1539fbf8c321e564d950544d2"/>
    <w:p>
      <w:pPr>
        <w:pStyle w:val="Heading1"/>
      </w:pPr>
      <w:r>
        <w:t xml:space="preserve">PROCEDIMIENTO DE GESTIÓN DE COMUNICACIONES DEL SII Y PROTECCIÓN AL INFORMANTE DE {{ cliente.razon_social | upper }}</w:t>
      </w:r>
    </w:p>
    <w:p>
      <w:pPr>
        <w:pStyle w:val="FirstParagraph"/>
      </w:pPr>
      <w:r>
        <w:rPr>
          <w:bCs/>
          <w:b/>
        </w:rPr>
        <w:t xml:space="preserve">Documento W-002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responsable_sii_nombre = responsables.responsable_sii.nombre if responsables.responsable_sii and responsables.responsable_sii.nombre else '[A DESIGNAR]' %}</w:t>
      </w:r>
      <w:r>
        <w:t xml:space="preserve"> </w:t>
      </w:r>
      <w:r>
        <w:t xml:space="preserve">{% set responsable_sii_cargo = responsables.responsable_sii.cargo if responsables.responsable_sii and responsables.responsable_sii.cargo else 'Responsable del SII' %}</w:t>
      </w:r>
      <w:r>
        <w:t xml:space="preserve"> </w:t>
      </w:r>
      <w:r>
        <w:t xml:space="preserve">{% set dpo_nombre = responsables.delegado_proteccion_datos.nombre if responsables.delegado_proteccion_datos and responsables.delegado_proteccion_datos.nombre else '[DPO]' %}</w:t>
      </w:r>
    </w:p>
    <w:bookmarkStart w:id="20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procedimiento desarrolla la Política W-001 (Sistema Interno de Información) detallando la operativa de recepción, análisis preliminar, admisión, investigación, decisión y cierre de las comunicaciones recibidas por el canal interno, así como las medidas de protección al informante exigidas por los artículos 9 a 15 y 36 a 41 de la Ley 2/2023.</w:t>
      </w:r>
    </w:p>
    <w:bookmarkEnd w:id="20"/>
    <w:bookmarkStart w:id="21" w:name="Xb07e5b971afafdb09b34e24bf43e68568f61825"/>
    <w:p>
      <w:pPr>
        <w:pStyle w:val="Heading2"/>
      </w:pPr>
      <w:r>
        <w:t xml:space="preserve">2. ÁMBITO</w:t>
      </w:r>
    </w:p>
    <w:p>
      <w:pPr>
        <w:pStyle w:val="FirstParagraph"/>
      </w:pPr>
      <w:r>
        <w:t xml:space="preserve">Aplica a toda comunicación recibida por cualquiera de los canales habilitados en el SII de la Entidad y a las personas comprendidas en el ámbito subjetivo de la Política W-001.</w:t>
      </w:r>
    </w:p>
    <w:bookmarkEnd w:id="21"/>
    <w:bookmarkStart w:id="22" w:name="Xdc9c96ae53759b2e1f7922ece425652fa2ab9b1"/>
    <w:p>
      <w:pPr>
        <w:pStyle w:val="Heading2"/>
      </w:pPr>
      <w:r>
        <w:t xml:space="preserve">3.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del SII</w:t>
            </w:r>
            <w:r>
              <w:t xml:space="preserve"> </w:t>
            </w:r>
            <w:r>
              <w:t xml:space="preserve">({{ responsable_sii_nombre }}, {{ responsable_sii_cargo 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Recepción, tramitación, investigación y resolución de 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Investigador delegado</w:t>
            </w:r>
            <w:r>
              <w:t xml:space="preserve"> </w:t>
            </w:r>
            <w:r>
              <w:t xml:space="preserve">(cuando proceda)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Apoyo técnico al Responsable en investigaciones complejas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Delegado de Protección de Datos</w:t>
            </w:r>
            <w:r>
              <w:t xml:space="preserve"> </w:t>
            </w:r>
            <w:r>
              <w:t xml:space="preserve">({{ dpo_nombre 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Asesoramiento en tratamiento de datos asociado al SII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Asesor Jurídico interno 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Asesoramiento legal cuando proceda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Órgano de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del informe anual + supervisión del SII</w:t>
            </w:r>
          </w:p>
        </w:tc>
      </w:tr>
    </w:tbl>
    <w:bookmarkEnd w:id="22"/>
    <w:bookmarkStart w:id="29" w:name="Xaaef9494596744791631dab03e8007369bf44bf"/>
    <w:p>
      <w:pPr>
        <w:pStyle w:val="Heading2"/>
      </w:pPr>
      <w:r>
        <w:t xml:space="preserve">4. FASES DEL PROCEDIMIENTO</w:t>
      </w:r>
    </w:p>
    <w:bookmarkStart w:id="23" w:name="Xb5b23c92d9b2ba2e3e7a824f6756c1866931b28"/>
    <w:p>
      <w:pPr>
        <w:pStyle w:val="Heading3"/>
      </w:pPr>
      <w:r>
        <w:t xml:space="preserve">4.1 Fase 1 — Recepción de la comunicación</w:t>
      </w:r>
    </w:p>
    <w:p>
      <w:pPr>
        <w:pStyle w:val="FirstParagraph"/>
      </w:pPr>
      <w:r>
        <w:t xml:space="preserve">a) Toda comunicación recibida por el canal interno (electrónico, postal o verbal) se registra en el Libro Registro Electrónico del SII con identificador único y huella de tiempo, garantizando integridad y trazabilidad.</w:t>
      </w:r>
    </w:p>
    <w:p>
      <w:pPr>
        <w:pStyle w:val="BodyText"/>
      </w:pPr>
      <w:r>
        <w:t xml:space="preserve">b) El Responsable del SII acusa recibo de la comunicación al informante en un plazo máximo de</w:t>
      </w:r>
      <w:r>
        <w:t xml:space="preserve"> </w:t>
      </w:r>
      <w:r>
        <w:rPr>
          <w:bCs/>
          <w:b/>
        </w:rPr>
        <w:t xml:space="preserve">siete (7) días naturales</w:t>
      </w:r>
      <w:r>
        <w:t xml:space="preserve"> </w:t>
      </w:r>
      <w:r>
        <w:t xml:space="preserve">desde su recepción, salvo cuando la comunicación sea anónima o cuando el acuse pudiera comprometer la confidencialidad.</w:t>
      </w:r>
    </w:p>
    <w:p>
      <w:pPr>
        <w:pStyle w:val="BodyText"/>
      </w:pPr>
      <w:r>
        <w:t xml:space="preserve">c) En el caso de comunicaciones verbales, se levantará acta de la sesión a la que tendrá acceso el informante para verificar su contenido y, en su caso, rectificarlo o complementarlo.</w:t>
      </w:r>
    </w:p>
    <w:bookmarkEnd w:id="23"/>
    <w:bookmarkStart w:id="24" w:name="X6b293215b93853debaa887888fe62abd2c6f5e3"/>
    <w:p>
      <w:pPr>
        <w:pStyle w:val="Heading3"/>
      </w:pPr>
      <w:r>
        <w:t xml:space="preserve">4.2 Fase 2 — Análisis preliminar</w:t>
      </w:r>
    </w:p>
    <w:p>
      <w:pPr>
        <w:pStyle w:val="FirstParagraph"/>
      </w:pPr>
      <w:r>
        <w:t xml:space="preserve">d) En los</w:t>
      </w:r>
      <w:r>
        <w:t xml:space="preserve"> </w:t>
      </w:r>
      <w:r>
        <w:rPr>
          <w:bCs/>
          <w:b/>
        </w:rPr>
        <w:t xml:space="preserve">siete (7) días naturales</w:t>
      </w:r>
      <w:r>
        <w:t xml:space="preserve"> </w:t>
      </w:r>
      <w:r>
        <w:t xml:space="preserve">siguientes a la recepción, el Responsable del SII realiza un análisis preliminar de la comunicación para determinar:</w:t>
      </w:r>
    </w:p>
    <w:p>
      <w:pPr>
        <w:numPr>
          <w:ilvl w:val="0"/>
          <w:numId w:val="1001"/>
        </w:numPr>
        <w:pStyle w:val="Compact"/>
      </w:pPr>
      <w:r>
        <w:t xml:space="preserve">Si la información recibida está comprendida en el ámbito material del SII (artículo 2 de la Ley 2/2023 + Política W-001 § 3.2).</w:t>
      </w:r>
    </w:p>
    <w:p>
      <w:pPr>
        <w:numPr>
          <w:ilvl w:val="0"/>
          <w:numId w:val="1001"/>
        </w:numPr>
        <w:pStyle w:val="Compact"/>
      </w:pPr>
      <w:r>
        <w:t xml:space="preserve">Si existe verosimilitud suficiente para iniciar actuaciones.</w:t>
      </w:r>
    </w:p>
    <w:p>
      <w:pPr>
        <w:numPr>
          <w:ilvl w:val="0"/>
          <w:numId w:val="1001"/>
        </w:numPr>
        <w:pStyle w:val="Compact"/>
      </w:pPr>
      <w:r>
        <w:t xml:space="preserve">Si la comunicación es manifiestamente infundada, repetitiva o presentada con manifiesto abuso de derecho.</w:t>
      </w:r>
    </w:p>
    <w:bookmarkEnd w:id="24"/>
    <w:bookmarkStart w:id="25" w:name="Xe0f4c5bc339eed7a2fb59c91b792284ece9e812"/>
    <w:p>
      <w:pPr>
        <w:pStyle w:val="Heading3"/>
      </w:pPr>
      <w:r>
        <w:t xml:space="preserve">4.3 Fase 3 — Decisión de admisión o inadmisión</w:t>
      </w:r>
    </w:p>
    <w:p>
      <w:pPr>
        <w:pStyle w:val="FirstParagraph"/>
      </w:pPr>
      <w:r>
        <w:t xml:space="preserve">e) El Responsable del SII emite</w:t>
      </w:r>
      <w:r>
        <w:t xml:space="preserve"> </w:t>
      </w:r>
      <w:r>
        <w:rPr>
          <w:bCs/>
          <w:b/>
        </w:rPr>
        <w:t xml:space="preserve">decisión motivada</w:t>
      </w:r>
      <w:r>
        <w:t xml:space="preserve"> </w:t>
      </w:r>
      <w:r>
        <w:t xml:space="preserve">sobre la admisión o inadmisión a trámite, en un plazo no superior a</w:t>
      </w:r>
      <w:r>
        <w:t xml:space="preserve"> </w:t>
      </w:r>
      <w:r>
        <w:rPr>
          <w:bCs/>
          <w:b/>
        </w:rPr>
        <w:t xml:space="preserve">diez (10) días naturales</w:t>
      </w:r>
      <w:r>
        <w:t xml:space="preserve"> </w:t>
      </w:r>
      <w:r>
        <w:t xml:space="preserve">desde la finalización del análisis preliminar.</w:t>
      </w:r>
    </w:p>
    <w:p>
      <w:pPr>
        <w:pStyle w:val="BodyText"/>
      </w:pPr>
      <w:r>
        <w:t xml:space="preserve">f) La inadmisión se motivará en alguna de las siguientes causas:</w:t>
      </w:r>
    </w:p>
    <w:p>
      <w:pPr>
        <w:numPr>
          <w:ilvl w:val="0"/>
          <w:numId w:val="1002"/>
        </w:numPr>
        <w:pStyle w:val="Compact"/>
      </w:pPr>
      <w:r>
        <w:t xml:space="preserve">Inexistencia de indicios verosímiles de las infracciones comunicadas.</w:t>
      </w:r>
    </w:p>
    <w:p>
      <w:pPr>
        <w:numPr>
          <w:ilvl w:val="0"/>
          <w:numId w:val="1002"/>
        </w:numPr>
        <w:pStyle w:val="Compact"/>
      </w:pPr>
      <w:r>
        <w:t xml:space="preserve">Manifiesta falta de fundamento.</w:t>
      </w:r>
    </w:p>
    <w:p>
      <w:pPr>
        <w:numPr>
          <w:ilvl w:val="0"/>
          <w:numId w:val="1002"/>
        </w:numPr>
        <w:pStyle w:val="Compact"/>
      </w:pPr>
      <w:r>
        <w:t xml:space="preserve">Repetición sustancial de comunicaciones previas que no aporten información significativamente nueva.</w:t>
      </w:r>
    </w:p>
    <w:p>
      <w:pPr>
        <w:numPr>
          <w:ilvl w:val="0"/>
          <w:numId w:val="1002"/>
        </w:numPr>
        <w:pStyle w:val="Compact"/>
      </w:pPr>
      <w:r>
        <w:t xml:space="preserve">Manifiesto abuso de derecho.</w:t>
      </w:r>
    </w:p>
    <w:p>
      <w:pPr>
        <w:numPr>
          <w:ilvl w:val="0"/>
          <w:numId w:val="1002"/>
        </w:numPr>
        <w:pStyle w:val="Compact"/>
      </w:pPr>
      <w:r>
        <w:t xml:space="preserve">Comunicación referida a hechos manifiestamente fuera del ámbito material del SII.</w:t>
      </w:r>
    </w:p>
    <w:p>
      <w:pPr>
        <w:pStyle w:val="FirstParagraph"/>
      </w:pPr>
      <w:r>
        <w:t xml:space="preserve">g) La decisión se notifica al informante salvo que su identidad sea desconocida (anonimato).</w:t>
      </w:r>
    </w:p>
    <w:bookmarkEnd w:id="25"/>
    <w:bookmarkStart w:id="26" w:name="Xdcbcd677da9476a44f81009f2cd8d36a4be0c49"/>
    <w:p>
      <w:pPr>
        <w:pStyle w:val="Heading3"/>
      </w:pPr>
      <w:r>
        <w:t xml:space="preserve">4.4 Fase 4 — Investigación</w:t>
      </w:r>
    </w:p>
    <w:p>
      <w:pPr>
        <w:pStyle w:val="FirstParagraph"/>
      </w:pPr>
      <w:r>
        <w:t xml:space="preserve">h) Admitida la comunicación, se inicia la fase de investigación, conducida por el Responsable del SII o por persona en quien delegue. La investigación se desarrollará con respeto absoluto al principio de presunción de inocencia respecto de la persona afectada y a sus derechos de defensa.</w:t>
      </w:r>
    </w:p>
    <w:p>
      <w:pPr>
        <w:pStyle w:val="BodyText"/>
      </w:pPr>
      <w:r>
        <w:t xml:space="preserve">i) Durante la investigación podrán realizarse, entre otras, las siguientes actuaciones:</w:t>
      </w:r>
    </w:p>
    <w:p>
      <w:pPr>
        <w:numPr>
          <w:ilvl w:val="0"/>
          <w:numId w:val="1003"/>
        </w:numPr>
        <w:pStyle w:val="Compact"/>
      </w:pPr>
      <w:r>
        <w:t xml:space="preserve">Entrevistas con el informante, con la persona afectada y, en su caso, con testigos.</w:t>
      </w:r>
    </w:p>
    <w:p>
      <w:pPr>
        <w:numPr>
          <w:ilvl w:val="0"/>
          <w:numId w:val="1003"/>
        </w:numPr>
        <w:pStyle w:val="Compact"/>
      </w:pPr>
      <w:r>
        <w:t xml:space="preserve">Análisis de documentación pertinente.</w:t>
      </w:r>
    </w:p>
    <w:p>
      <w:pPr>
        <w:numPr>
          <w:ilvl w:val="0"/>
          <w:numId w:val="1003"/>
        </w:numPr>
        <w:pStyle w:val="Compact"/>
      </w:pPr>
      <w:r>
        <w:t xml:space="preserve">Solicitud de información a las áreas funcionales de la Entidad que corresponda.</w:t>
      </w:r>
    </w:p>
    <w:p>
      <w:pPr>
        <w:numPr>
          <w:ilvl w:val="0"/>
          <w:numId w:val="1003"/>
        </w:numPr>
        <w:pStyle w:val="Compact"/>
      </w:pPr>
      <w:r>
        <w:t xml:space="preserve">Coordinación con servicios técnicos especializados.</w:t>
      </w:r>
    </w:p>
    <w:p>
      <w:pPr>
        <w:pStyle w:val="FirstParagraph"/>
      </w:pPr>
      <w:r>
        <w:t xml:space="preserve">j) La persona afectada será informada de la comunicación en su contra y de su derecho a ser oída, en el momento en que dicha información no pueda comprometer las actuaciones de investigación, y siempre con respeto a la confidencialidad del informante.</w:t>
      </w:r>
    </w:p>
    <w:p>
      <w:pPr>
        <w:pStyle w:val="BodyText"/>
      </w:pPr>
      <w:r>
        <w:t xml:space="preserve">k) La investigación se desarrollará en un plazo no superior a</w:t>
      </w:r>
      <w:r>
        <w:t xml:space="preserve"> </w:t>
      </w:r>
      <w:r>
        <w:rPr>
          <w:bCs/>
          <w:b/>
        </w:rPr>
        <w:t xml:space="preserve">tres (3) meses</w:t>
      </w:r>
      <w:r>
        <w:t xml:space="preserve"> </w:t>
      </w:r>
      <w:r>
        <w:t xml:space="preserve">desde la admisión a trámite, prorrogable por un único período adicional de hasta</w:t>
      </w:r>
      <w:r>
        <w:t xml:space="preserve"> </w:t>
      </w:r>
      <w:r>
        <w:rPr>
          <w:bCs/>
          <w:b/>
        </w:rPr>
        <w:t xml:space="preserve">tres (3) meses más</w:t>
      </w:r>
      <w:r>
        <w:t xml:space="preserve"> </w:t>
      </w:r>
      <w:r>
        <w:t xml:space="preserve">mediante decisión motivada del Responsable del SII, conforme al artículo 9.2 de la Ley 2/2023.</w:t>
      </w:r>
    </w:p>
    <w:bookmarkEnd w:id="26"/>
    <w:bookmarkStart w:id="27" w:name="Xb58961bf63aff5e76ea68bed2595260a92f773e"/>
    <w:p>
      <w:pPr>
        <w:pStyle w:val="Heading3"/>
      </w:pPr>
      <w:r>
        <w:t xml:space="preserve">4.5 Fase 5 — Decisión y medidas correctivas</w:t>
      </w:r>
    </w:p>
    <w:p>
      <w:pPr>
        <w:pStyle w:val="FirstParagraph"/>
      </w:pPr>
      <w:r>
        <w:t xml:space="preserve">l) Concluida la investigación, el Responsable del SII emite un</w:t>
      </w:r>
      <w:r>
        <w:t xml:space="preserve"> </w:t>
      </w:r>
      <w:r>
        <w:rPr>
          <w:bCs/>
          <w:b/>
        </w:rPr>
        <w:t xml:space="preserve">informe final</w:t>
      </w:r>
      <w:r>
        <w:t xml:space="preserve"> </w:t>
      </w:r>
      <w:r>
        <w:t xml:space="preserve">con sus conclusiones, en el que se identifican las medidas correctivas, disciplinarias, organizativas o de cualquier otra naturaleza que correspondan.</w:t>
      </w:r>
    </w:p>
    <w:p>
      <w:pPr>
        <w:pStyle w:val="BodyText"/>
      </w:pPr>
      <w:r>
        <w:t xml:space="preserve">m) En su caso, el informe podrá proponer:</w:t>
      </w:r>
    </w:p>
    <w:p>
      <w:pPr>
        <w:numPr>
          <w:ilvl w:val="0"/>
          <w:numId w:val="1004"/>
        </w:numPr>
        <w:pStyle w:val="Compact"/>
      </w:pPr>
      <w:r>
        <w:t xml:space="preserve">La adopción de medidas correctivas operativas.</w:t>
      </w:r>
    </w:p>
    <w:p>
      <w:pPr>
        <w:numPr>
          <w:ilvl w:val="0"/>
          <w:numId w:val="1004"/>
        </w:numPr>
        <w:pStyle w:val="Compact"/>
      </w:pPr>
      <w:r>
        <w:t xml:space="preserve">La incoación de expediente disciplinario interno.</w:t>
      </w:r>
    </w:p>
    <w:p>
      <w:pPr>
        <w:numPr>
          <w:ilvl w:val="0"/>
          <w:numId w:val="1004"/>
        </w:numPr>
        <w:pStyle w:val="Compact"/>
      </w:pPr>
      <w:r>
        <w:t xml:space="preserve">La comunicación de los hechos a las autoridades judiciales o administrativas competentes.</w:t>
      </w:r>
    </w:p>
    <w:p>
      <w:pPr>
        <w:numPr>
          <w:ilvl w:val="0"/>
          <w:numId w:val="1004"/>
        </w:numPr>
        <w:pStyle w:val="Compact"/>
      </w:pPr>
      <w:r>
        <w:t xml:space="preserve">El cierre del expediente cuando no se acredite la existencia de infracción.</w:t>
      </w:r>
    </w:p>
    <w:p>
      <w:pPr>
        <w:pStyle w:val="FirstParagraph"/>
      </w:pPr>
      <w:r>
        <w:t xml:space="preserve">n) La decisión final corresponderá al órgano competente conforme a la normativa interna de la Entidad y, cuando proceda, al órgano de administración.</w:t>
      </w:r>
    </w:p>
    <w:bookmarkEnd w:id="27"/>
    <w:bookmarkStart w:id="28" w:name="Xc6b2c9c78a208c889eac12fb158ed129829db9b"/>
    <w:p>
      <w:pPr>
        <w:pStyle w:val="Heading3"/>
      </w:pPr>
      <w:r>
        <w:t xml:space="preserve">4.6 Fase 6 — Cierre e información al informante</w:t>
      </w:r>
    </w:p>
    <w:p>
      <w:pPr>
        <w:pStyle w:val="FirstParagraph"/>
      </w:pPr>
      <w:r>
        <w:t xml:space="preserve">o) Adoptada la decisión, se procede al cierre formal del expediente, dejándose constancia en el Libro Registro.</w:t>
      </w:r>
    </w:p>
    <w:p>
      <w:pPr>
        <w:pStyle w:val="BodyText"/>
      </w:pPr>
      <w:r>
        <w:t xml:space="preserve">p) Se notifica al informante el resultado de las actuaciones, salvo cuando sea anónimo o cuando la notificación pueda comprometer derechos de terceros o el desarrollo de procedimientos administrativos o judiciales posteriores.</w:t>
      </w:r>
    </w:p>
    <w:bookmarkEnd w:id="28"/>
    <w:bookmarkEnd w:id="29"/>
    <w:bookmarkStart w:id="33" w:name="Xdcddb5542a06a17c35fd7765eed65672824950d"/>
    <w:p>
      <w:pPr>
        <w:pStyle w:val="Heading2"/>
      </w:pPr>
      <w:r>
        <w:t xml:space="preserve">5. GARANTÍAS DURANTE TODO EL PROCEDIMIENTO</w:t>
      </w:r>
    </w:p>
    <w:bookmarkStart w:id="30" w:name="X5aa147b2b8b70247c1b65dd4e42c4a3ecc846d0"/>
    <w:p>
      <w:pPr>
        <w:pStyle w:val="Heading3"/>
      </w:pPr>
      <w:r>
        <w:t xml:space="preserve">5.1 Confidencialidad operativa</w:t>
      </w:r>
    </w:p>
    <w:p>
      <w:pPr>
        <w:pStyle w:val="FirstParagraph"/>
      </w:pPr>
      <w:r>
        <w:t xml:space="preserve">La identidad del informante, de las personas afectadas y de cualquier tercero mencionado, así como la información manejada, se tratarán con la máxima reserva. Únicamente accederán al expediente las personas con un interés legítimo y estricta necesidad para el desempeño de sus funciones en el procedimiento.</w:t>
      </w:r>
    </w:p>
    <w:bookmarkEnd w:id="30"/>
    <w:bookmarkStart w:id="31" w:name="Xc1bdae9424d759ab2c1232719e9fd42eb58e735"/>
    <w:p>
      <w:pPr>
        <w:pStyle w:val="Heading3"/>
      </w:pPr>
      <w:r>
        <w:t xml:space="preserve">5.2 Protección activa frente a represalias</w:t>
      </w:r>
    </w:p>
    <w:p>
      <w:pPr>
        <w:pStyle w:val="FirstParagraph"/>
      </w:pPr>
      <w:r>
        <w:t xml:space="preserve">a) Desde el momento de la comunicación, el Responsable del SII vela por la protección del informante frente a cualquier acto que pudiera constituir represalia, conforme a los artículos 36 a 41 de la Ley 2/2023.</w:t>
      </w:r>
    </w:p>
    <w:p>
      <w:pPr>
        <w:pStyle w:val="BodyText"/>
      </w:pPr>
      <w:r>
        <w:t xml:space="preserve">b) Cualquier acto adoptado en perjuicio del informante en los</w:t>
      </w:r>
      <w:r>
        <w:t xml:space="preserve"> </w:t>
      </w:r>
      <w:r>
        <w:rPr>
          <w:bCs/>
          <w:b/>
        </w:rPr>
        <w:t xml:space="preserve">dos (2) años siguientes</w:t>
      </w:r>
      <w:r>
        <w:t xml:space="preserve"> </w:t>
      </w:r>
      <w:r>
        <w:t xml:space="preserve">a la presentación de la comunicación se presumirá represalia, correspondiendo a la Entidad o a la persona que lo adopte acreditar que se basa en motivos justificados y proporcionados independientes del hecho de la comunicación.</w:t>
      </w:r>
    </w:p>
    <w:p>
      <w:pPr>
        <w:pStyle w:val="BodyText"/>
      </w:pPr>
      <w:r>
        <w:t xml:space="preserve">c) Acreditada la existencia de represalia, la Entidad adoptará las medidas correctoras necesarias y comunicará la situación al informante para que pueda hacer valer sus derechos, incluyendo la posibilidad de dirigirse a la AAI.</w:t>
      </w:r>
    </w:p>
    <w:bookmarkEnd w:id="31"/>
    <w:bookmarkStart w:id="32" w:name="X3199bd04cf63b934c7f9f8f717c664f56cf3126"/>
    <w:p>
      <w:pPr>
        <w:pStyle w:val="Heading3"/>
      </w:pPr>
      <w:r>
        <w:t xml:space="preserve">5.3 Tratamiento de datos personales</w:t>
      </w:r>
    </w:p>
    <w:p>
      <w:pPr>
        <w:pStyle w:val="FirstParagraph"/>
      </w:pPr>
      <w:r>
        <w:t xml:space="preserve">a) El tratamiento de datos personales se realiza conforme al RGPD, la LOPDGDD y los artículos 30 a 35 de la Ley 2/2023, bajo la base jurídica de cumplimiento de obligación legal (artículo 6.1.c) RGPD).</w:t>
      </w:r>
    </w:p>
    <w:p>
      <w:pPr>
        <w:pStyle w:val="BodyText"/>
      </w:pPr>
      <w:r>
        <w:t xml:space="preserve">b) Únicamente se conservarán los datos estrictamente necesarios para la decisión sobre la admisión y, en su caso, para la investigación.</w:t>
      </w:r>
    </w:p>
    <w:p>
      <w:pPr>
        <w:pStyle w:val="BodyText"/>
      </w:pPr>
      <w:r>
        <w:t xml:space="preserve">c) La conservación máxima en el sistema es de</w:t>
      </w:r>
      <w:r>
        <w:t xml:space="preserve"> </w:t>
      </w:r>
      <w:r>
        <w:rPr>
          <w:bCs/>
          <w:b/>
        </w:rPr>
        <w:t xml:space="preserve">diez (10) años</w:t>
      </w:r>
      <w:r>
        <w:t xml:space="preserve"> </w:t>
      </w:r>
      <w:r>
        <w:t xml:space="preserve">desde la finalización de la investigación, salvo cuando sea necesario un plazo superior por requerimiento de autoridad competente.</w:t>
      </w:r>
    </w:p>
    <w:p>
      <w:pPr>
        <w:pStyle w:val="BodyText"/>
      </w:pPr>
      <w:r>
        <w:t xml:space="preserve">d) Las personas afectadas podrán ejercer sus derechos RGPD a través del DPO, sin que ello pueda comprometer la confidencialidad del informante ni el desarrollo de las actuaciones del SII.</w:t>
      </w:r>
    </w:p>
    <w:bookmarkEnd w:id="32"/>
    <w:bookmarkEnd w:id="33"/>
    <w:bookmarkStart w:id="34" w:name="Xf870e7c1fcf5435874971c1894ce2c846e638c3"/>
    <w:p>
      <w:pPr>
        <w:pStyle w:val="Heading2"/>
      </w:pPr>
      <w:r>
        <w:t xml:space="preserve">6. LIBRO REGISTRO DE COMUNICACIONES DEL SII</w:t>
      </w:r>
    </w:p>
    <w:p>
      <w:pPr>
        <w:pStyle w:val="FirstParagraph"/>
      </w:pPr>
      <w:r>
        <w:t xml:space="preserve">a) La Entidad mantiene un Libro Registro electrónico de las comunicaciones recibidas, con la información mínima exigida por el artículo 26 de la Ley 2/2023:</w:t>
      </w:r>
    </w:p>
    <w:p>
      <w:pPr>
        <w:numPr>
          <w:ilvl w:val="0"/>
          <w:numId w:val="1005"/>
        </w:numPr>
        <w:pStyle w:val="Compact"/>
      </w:pPr>
      <w:r>
        <w:t xml:space="preserve">Identificador único del expediente.</w:t>
      </w:r>
    </w:p>
    <w:p>
      <w:pPr>
        <w:numPr>
          <w:ilvl w:val="0"/>
          <w:numId w:val="1005"/>
        </w:numPr>
        <w:pStyle w:val="Compact"/>
      </w:pPr>
      <w:r>
        <w:t xml:space="preserve">Fecha y modalidad de recepción.</w:t>
      </w:r>
    </w:p>
    <w:p>
      <w:pPr>
        <w:numPr>
          <w:ilvl w:val="0"/>
          <w:numId w:val="1005"/>
        </w:numPr>
        <w:pStyle w:val="Compact"/>
      </w:pPr>
      <w:r>
        <w:t xml:space="preserve">Descripción genérica del objeto.</w:t>
      </w:r>
    </w:p>
    <w:p>
      <w:pPr>
        <w:numPr>
          <w:ilvl w:val="0"/>
          <w:numId w:val="1005"/>
        </w:numPr>
        <w:pStyle w:val="Compact"/>
      </w:pPr>
      <w:r>
        <w:t xml:space="preserve">Estado del expediente.</w:t>
      </w:r>
    </w:p>
    <w:p>
      <w:pPr>
        <w:numPr>
          <w:ilvl w:val="0"/>
          <w:numId w:val="1005"/>
        </w:numPr>
        <w:pStyle w:val="Compact"/>
      </w:pPr>
      <w:r>
        <w:t xml:space="preserve">Fechas de las actuaciones más relevantes.</w:t>
      </w:r>
    </w:p>
    <w:p>
      <w:pPr>
        <w:numPr>
          <w:ilvl w:val="0"/>
          <w:numId w:val="1005"/>
        </w:numPr>
        <w:pStyle w:val="Compact"/>
      </w:pPr>
      <w:r>
        <w:t xml:space="preserve">Persona responsable del expediente.</w:t>
      </w:r>
    </w:p>
    <w:p>
      <w:pPr>
        <w:pStyle w:val="FirstParagraph"/>
      </w:pPr>
      <w:r>
        <w:t xml:space="preserve">b) El Libro Registro se mantiene con las medidas técnicas y organizativas necesarias para garantizar la confidencialidad y la trazabilidad inmutable.</w:t>
      </w:r>
    </w:p>
    <w:p>
      <w:pPr>
        <w:pStyle w:val="BodyText"/>
      </w:pPr>
      <w:r>
        <w:t xml:space="preserve">c) El acceso al Libro está restringido al Responsable del SII y a las personas autorizadas por este con estricta necesidad.</w:t>
      </w:r>
    </w:p>
    <w:bookmarkEnd w:id="34"/>
    <w:bookmarkStart w:id="35" w:name="X9d964b1205b5904189c2c8bf9592a54b4e216c4"/>
    <w:p>
      <w:pPr>
        <w:pStyle w:val="Heading2"/>
      </w:pPr>
      <w:r>
        <w:t xml:space="preserve">7. INFORME ANUAL DE ACTIVIDAD</w:t>
      </w:r>
    </w:p>
    <w:p>
      <w:pPr>
        <w:pStyle w:val="FirstParagraph"/>
      </w:pPr>
      <w:r>
        <w:t xml:space="preserve">a) Anualmente, el Responsable del SII elabora un informe agregado y anonimizado de la actividad del Sistema, que se eleva al órgano de administración antes del</w:t>
      </w:r>
      <w:r>
        <w:t xml:space="preserve"> </w:t>
      </w:r>
      <w:r>
        <w:rPr>
          <w:bCs/>
          <w:b/>
        </w:rPr>
        <w:t xml:space="preserve">31 de marzo</w:t>
      </w:r>
      <w:r>
        <w:t xml:space="preserve"> </w:t>
      </w:r>
      <w:r>
        <w:t xml:space="preserve">de cada año.</w:t>
      </w:r>
    </w:p>
    <w:p>
      <w:pPr>
        <w:pStyle w:val="BodyText"/>
      </w:pPr>
      <w:r>
        <w:t xml:space="preserve">b) El informe contiene, al menos:</w:t>
      </w:r>
    </w:p>
    <w:p>
      <w:pPr>
        <w:numPr>
          <w:ilvl w:val="0"/>
          <w:numId w:val="1006"/>
        </w:numPr>
        <w:pStyle w:val="Compact"/>
      </w:pPr>
      <w:r>
        <w:t xml:space="preserve">Número total de comunicaciones recibidas en el ejercicio anterior, desglosado por modalidad de canal.</w:t>
      </w:r>
    </w:p>
    <w:p>
      <w:pPr>
        <w:numPr>
          <w:ilvl w:val="0"/>
          <w:numId w:val="1006"/>
        </w:numPr>
        <w:pStyle w:val="Compact"/>
      </w:pPr>
      <w:r>
        <w:t xml:space="preserve">Número de comunicaciones admitidas y rechazadas, con indicación de las causas de rechazo en términos agregados.</w:t>
      </w:r>
    </w:p>
    <w:p>
      <w:pPr>
        <w:numPr>
          <w:ilvl w:val="0"/>
          <w:numId w:val="1006"/>
        </w:numPr>
        <w:pStyle w:val="Compact"/>
      </w:pPr>
      <w:r>
        <w:t xml:space="preserve">Número de comunicaciones investigadas y cerradas en el ejercicio.</w:t>
      </w:r>
    </w:p>
    <w:p>
      <w:pPr>
        <w:numPr>
          <w:ilvl w:val="0"/>
          <w:numId w:val="1006"/>
        </w:numPr>
        <w:pStyle w:val="Compact"/>
      </w:pPr>
      <w:r>
        <w:t xml:space="preserve">Plazos medios de las distintas fases del procedimiento.</w:t>
      </w:r>
    </w:p>
    <w:p>
      <w:pPr>
        <w:numPr>
          <w:ilvl w:val="0"/>
          <w:numId w:val="1006"/>
        </w:numPr>
        <w:pStyle w:val="Compact"/>
      </w:pPr>
      <w:r>
        <w:t xml:space="preserve">Tipología agregada de las cuestiones planteadas.</w:t>
      </w:r>
    </w:p>
    <w:p>
      <w:pPr>
        <w:numPr>
          <w:ilvl w:val="0"/>
          <w:numId w:val="1006"/>
        </w:numPr>
        <w:pStyle w:val="Compact"/>
      </w:pPr>
      <w:r>
        <w:t xml:space="preserve">Medidas correctivas adoptadas en términos agregados.</w:t>
      </w:r>
    </w:p>
    <w:p>
      <w:pPr>
        <w:numPr>
          <w:ilvl w:val="0"/>
          <w:numId w:val="1006"/>
        </w:numPr>
        <w:pStyle w:val="Compact"/>
      </w:pPr>
      <w:r>
        <w:t xml:space="preserve">Recomendaciones para la mejora del Sistema.</w:t>
      </w:r>
    </w:p>
    <w:bookmarkEnd w:id="35"/>
    <w:bookmarkStart w:id="36" w:name="Xa8333e1e3cf94c1af54fcc2d94339e7fd0c4dd2"/>
    <w:p>
      <w:pPr>
        <w:pStyle w:val="Heading2"/>
      </w:pPr>
      <w:r>
        <w:t xml:space="preserve">8. INDICADORES OPERATIVOS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Acuse de recibo al informante en plazo ≤ 7 días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de admisión en plazo ≤ 17 días naturales totales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Investigación concluida dentro del plazo legal (3+3 meses)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Comunicaciones gestionadas sin incidente de confidencialidad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Represalias documentadas adoptadas por la Entidad contra informantes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36"/>
    <w:bookmarkStart w:id="37" w:name="X5fa9827bb8944dcda241bee27e6763e345695c6"/>
    <w:p>
      <w:pPr>
        <w:pStyle w:val="Heading2"/>
      </w:pPr>
      <w:r>
        <w:t xml:space="preserve">9. APROBACIÓN, REVISIÓN Y VIGENCIA</w:t>
      </w:r>
    </w:p>
    <w:p>
      <w:pPr>
        <w:pStyle w:val="FirstParagraph"/>
      </w:pPr>
      <w:r>
        <w:t xml:space="preserve">Aprobado por el órgano competente de la Entidad junto con la Política W-001. Revisión bienal y siempre que se produzcan cambios normativos relevantes.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W-002 — Versión {{ proyecto.version_actual if proyecto.version_actual else '1.0' }} — Clasificación: INTERNA</w:t>
      </w:r>
    </w:p>
    <w:p>
      <w:pPr>
        <w:pStyle w:val="BodyText"/>
      </w:pPr>
      <w:r>
        <w:rPr>
          <w:iCs/>
          <w:i/>
        </w:rPr>
        <w:t xml:space="preserve">Documento generado por FULKRO · plataforma de gestión de cumplimiento normativo · {{ proyecto.fecha_aprobacion_inicial if proyecto.fecha_aprobacion_inicial else '—' }}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2026-05-18T17:50:33Z</dcterms:created>
  <dcterms:modified xsi:type="dcterms:W3CDTF">2026-05-18T17:50:33Z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W-002</vt:lpwstr>
  </property>
  <property fmtid="{D5CDD505-2E9C-101B-9397-08002B2CF9AE}" pid="4" name="norma_aplicable">
    <vt:lpwstr>Ley 2/2023, de 20 de febrero · Arts. 9-15 (gestión) + 36-41 (protección)</vt:lpwstr>
  </property>
  <property fmtid="{D5CDD505-2E9C-101B-9397-08002B2CF9AE}" pid="5" name="politica_madre">
    <vt:lpwstr>W-001</vt:lpwstr>
  </property>
  <property fmtid="{D5CDD505-2E9C-101B-9397-08002B2CF9AE}" pid="6" name="titulo">
    <vt:lpwstr>Procedimiento de Gestión de Comunicaciones del SII y Protección al Informante</vt:lpwstr>
  </property>
  <property fmtid="{D5CDD505-2E9C-101B-9397-08002B2CF9AE}" pid="7" name="version">
    <vt:lpwstr>{{ proyecto.version_actual if proyecto.version_actual else '1.0' }}</vt:lpwstr>
  </property>
</Properties>
</file>