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cf6b5238523890f4abee6bba3c005dcd8c5fa4"/>
    <w:p>
      <w:pPr>
        <w:pStyle w:val="Heading1"/>
      </w:pPr>
      <w:r>
        <w:t xml:space="preserve">PROCEDIMIENTO DE HARDENING Y CONFIGURACIÓN SEGURA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}}-IT-001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criterios técnicos y el método operativo mediante el cual {{ cliente.razon_social }} configura de forma segura los sistemas operativos, bases de datos, aplicaciones, dispositivos de red, servicios cloud y demás componentes tecnológicos comprendidos en el alcance del SGSI, en cumplimiento de las medidas</w:t>
      </w:r>
      <w:r>
        <w:t xml:space="preserve"> </w:t>
      </w:r>
      <w:r>
        <w:rPr>
          <w:bCs/>
          <w:b/>
        </w:rPr>
        <w:t xml:space="preserve">op.exp.2 (Configuración de seguridad)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op.exp.3 (Gestión de la configuración)</w:t>
      </w:r>
      <w:r>
        <w:t xml:space="preserve"> </w:t>
      </w:r>
      <w:r>
        <w:t xml:space="preserve">del Anexo II del Real Decreto 311/2022.</w:t>
      </w:r>
    </w:p>
    <w:bookmarkEnd w:id="20"/>
    <w:bookmarkStart w:id="21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todos los componentes tecnológicos productivos comprendidos en el alcance del SGSI, así como a sus entornos de desarrollo y preproducción cuando estos puedan afectar a la seguridad del entorno productivo.</w:t>
      </w:r>
    </w:p>
    <w:bookmarkEnd w:id="21"/>
    <w:bookmarkStart w:id="26" w:name="Xa25959606645258ef1af26345938b9cc6ed2c4e"/>
    <w:p>
      <w:pPr>
        <w:pStyle w:val="Heading2"/>
      </w:pPr>
      <w:r>
        <w:t xml:space="preserve">3. PRINCIPIOS</w:t>
      </w:r>
    </w:p>
    <w:bookmarkStart w:id="22" w:name="Xf082a935616fedb00fd3be6a25fc257365feae7"/>
    <w:p>
      <w:pPr>
        <w:pStyle w:val="Heading3"/>
      </w:pPr>
      <w:r>
        <w:t xml:space="preserve">3.1 Mínima funcionalidad</w:t>
      </w:r>
    </w:p>
    <w:p>
      <w:pPr>
        <w:pStyle w:val="FirstParagraph"/>
      </w:pPr>
      <w:r>
        <w:t xml:space="preserve">Cada sistema se configura con los</w:t>
      </w:r>
      <w:r>
        <w:t xml:space="preserve"> </w:t>
      </w:r>
      <w:r>
        <w:rPr>
          <w:bCs/>
          <w:b/>
        </w:rPr>
        <w:t xml:space="preserve">servicios, puertos, cuentas, protocolos y funcionalidades estrictamente necesarios</w:t>
      </w:r>
      <w:r>
        <w:t xml:space="preserve"> </w:t>
      </w:r>
      <w:r>
        <w:t xml:space="preserve">para su función operativa. Todo lo demás debe deshabilitarse o eliminarse.</w:t>
      </w:r>
    </w:p>
    <w:bookmarkEnd w:id="22"/>
    <w:bookmarkStart w:id="23" w:name="Xc090a981c60c74f45d83af7093f93cb7aaae7ea"/>
    <w:p>
      <w:pPr>
        <w:pStyle w:val="Heading3"/>
      </w:pPr>
      <w:r>
        <w:t xml:space="preserve">3.2 Configuración segura por defecto</w:t>
      </w:r>
    </w:p>
    <w:p>
      <w:pPr>
        <w:pStyle w:val="FirstParagraph"/>
      </w:pPr>
      <w:r>
        <w:t xml:space="preserve">Las configuraciones por defecto del fabricante rara vez son seguras. Toda nueva instalación debe pasar por el proceso de hardening antes de su puesta en producción.</w:t>
      </w:r>
    </w:p>
    <w:bookmarkEnd w:id="23"/>
    <w:bookmarkStart w:id="24" w:name="Xbbd1d14dea9a3849fa85709d71f68157c510129"/>
    <w:p>
      <w:pPr>
        <w:pStyle w:val="Heading3"/>
      </w:pPr>
      <w:r>
        <w:t xml:space="preserve">3.3 Reproducibilidad</w:t>
      </w:r>
    </w:p>
    <w:p>
      <w:pPr>
        <w:pStyle w:val="FirstParagraph"/>
      </w:pPr>
      <w:r>
        <w:t xml:space="preserve">Las configuraciones seguras se documentan mediante</w:t>
      </w:r>
      <w:r>
        <w:t xml:space="preserve"> </w:t>
      </w:r>
      <w:r>
        <w:rPr>
          <w:bCs/>
          <w:b/>
        </w:rPr>
        <w:t xml:space="preserve">plantillas reproducibles</w:t>
      </w:r>
      <w:r>
        <w:t xml:space="preserve"> </w:t>
      </w:r>
      <w:r>
        <w:t xml:space="preserve">(preferentemente Infrastructure as Code) que permitan desplegar nuevos sistemas con la misma configuración base de forma automatizada.</w:t>
      </w:r>
    </w:p>
    <w:bookmarkEnd w:id="24"/>
    <w:bookmarkStart w:id="25" w:name="X478be4474088d27261826e5bc4033c325f8e582"/>
    <w:p>
      <w:pPr>
        <w:pStyle w:val="Heading3"/>
      </w:pPr>
      <w:r>
        <w:t xml:space="preserve">3.4 Verificación continua</w:t>
      </w:r>
    </w:p>
    <w:p>
      <w:pPr>
        <w:pStyle w:val="FirstParagraph"/>
      </w:pPr>
      <w:r>
        <w:t xml:space="preserve">La conformidad con la configuración segura no es un estado puntual sino una propiedad que debe verificarse de forma continua mediante herramientas automatizadas.</w:t>
      </w:r>
    </w:p>
    <w:bookmarkEnd w:id="25"/>
    <w:bookmarkEnd w:id="26"/>
    <w:bookmarkStart w:id="30" w:name="Xf313181b45bf3dfbbe6695f6d3074def02413c1"/>
    <w:p>
      <w:pPr>
        <w:pStyle w:val="Heading2"/>
      </w:pPr>
      <w:r>
        <w:t xml:space="preserve">4. BASELINES DE REFERENCIA</w:t>
      </w:r>
    </w:p>
    <w:bookmarkStart w:id="27" w:name="Xa670bbc7f0fb7d82ea95a140e7cb844d1f9b2e8"/>
    <w:p>
      <w:pPr>
        <w:pStyle w:val="Heading3"/>
      </w:pPr>
      <w:r>
        <w:t xml:space="preserve">4.1 Fuentes de las baselines</w:t>
      </w:r>
    </w:p>
    <w:p>
      <w:pPr>
        <w:pStyle w:val="FirstParagraph"/>
      </w:pPr>
      <w:r>
        <w:t xml:space="preserve">Como punto de partida para la elaboración de las baselines internas se utilizarán, en orden de preferencia:</w:t>
      </w:r>
    </w:p>
    <w:p>
      <w:pPr>
        <w:pStyle w:val="BodyText"/>
      </w:pPr>
      <w:r>
        <w:t xml:space="preserve">a) Las</w:t>
      </w:r>
      <w:r>
        <w:t xml:space="preserve"> </w:t>
      </w:r>
      <w:r>
        <w:rPr>
          <w:bCs/>
          <w:b/>
        </w:rPr>
        <w:t xml:space="preserve">guías CCN-STIC de la serie 500</w:t>
      </w:r>
      <w:r>
        <w:t xml:space="preserve"> </w:t>
      </w:r>
      <w:r>
        <w:t xml:space="preserve">(Productos de Seguridad) y de la serie 600 (Aplicaciones), publicadas por el Centro Criptológico Nacional para los productos específicos cubiertos.</w:t>
      </w:r>
    </w:p>
    <w:p>
      <w:pPr>
        <w:pStyle w:val="BodyText"/>
      </w:pPr>
      <w:r>
        <w:t xml:space="preserve">b) Los</w:t>
      </w:r>
      <w:r>
        <w:t xml:space="preserve"> </w:t>
      </w:r>
      <w:r>
        <w:rPr>
          <w:bCs/>
          <w:b/>
        </w:rPr>
        <w:t xml:space="preserve">CIS Benchmarks</w:t>
      </w:r>
      <w:r>
        <w:t xml:space="preserve"> </w:t>
      </w:r>
      <w:r>
        <w:t xml:space="preserve">del Center for Internet Security para sistemas operativos, bases de datos, aplicaciones y servicios cloud.</w:t>
      </w:r>
    </w:p>
    <w:p>
      <w:pPr>
        <w:pStyle w:val="BodyText"/>
      </w:pPr>
      <w:r>
        <w:t xml:space="preserve">c) Los</w:t>
      </w:r>
      <w:r>
        <w:t xml:space="preserve"> </w:t>
      </w:r>
      <w:r>
        <w:rPr>
          <w:bCs/>
          <w:b/>
        </w:rPr>
        <w:t xml:space="preserve">STIGs (Security Technical Implementation Guides)</w:t>
      </w:r>
      <w:r>
        <w:t xml:space="preserve"> </w:t>
      </w:r>
      <w:r>
        <w:t xml:space="preserve">del DISA estadounidense.</w:t>
      </w:r>
    </w:p>
    <w:p>
      <w:pPr>
        <w:pStyle w:val="BodyText"/>
      </w:pPr>
      <w:r>
        <w:t xml:space="preserve">d) Las recomendaciones específicas del</w:t>
      </w:r>
      <w:r>
        <w:t xml:space="preserve"> </w:t>
      </w:r>
      <w:r>
        <w:rPr>
          <w:bCs/>
          <w:b/>
        </w:rPr>
        <w:t xml:space="preserve">fabricante</w:t>
      </w:r>
      <w:r>
        <w:t xml:space="preserve"> </w:t>
      </w:r>
      <w:r>
        <w:t xml:space="preserve">del producto.</w:t>
      </w:r>
    </w:p>
    <w:p>
      <w:pPr>
        <w:pStyle w:val="BodyText"/>
      </w:pPr>
      <w:r>
        <w:t xml:space="preserve">e) Las</w:t>
      </w:r>
      <w:r>
        <w:t xml:space="preserve"> </w:t>
      </w:r>
      <w:r>
        <w:rPr>
          <w:bCs/>
          <w:b/>
        </w:rPr>
        <w:t xml:space="preserve">plantillas Microsoft Security Baselines</w:t>
      </w:r>
      <w:r>
        <w:t xml:space="preserve"> </w:t>
      </w:r>
      <w:r>
        <w:t xml:space="preserve">para entornos Windows.</w:t>
      </w:r>
    </w:p>
    <w:bookmarkEnd w:id="27"/>
    <w:bookmarkStart w:id="28" w:name="X35de16a68dc5cc38180ad9ea285ca22ce9bbd3a"/>
    <w:p>
      <w:pPr>
        <w:pStyle w:val="Heading3"/>
      </w:pPr>
      <w:r>
        <w:t xml:space="preserve">4.2 Adaptación a la realidad de la Entidad</w:t>
      </w:r>
    </w:p>
    <w:p>
      <w:pPr>
        <w:pStyle w:val="FirstParagraph"/>
      </w:pPr>
      <w:r>
        <w:rPr>
          <w:bCs/>
          <w:b/>
        </w:rPr>
        <w:t xml:space="preserve">Paso 1.</w:t>
      </w:r>
      <w:r>
        <w:t xml:space="preserve"> </w:t>
      </w:r>
      <w:r>
        <w:t xml:space="preserve">El Responsable de la Seguridad, con el apoyo del Responsable del Sistema, adaptará las baselines de referencia a la realidad operativa de la Entidad, considerando:</w:t>
      </w:r>
    </w:p>
    <w:p>
      <w:pPr>
        <w:numPr>
          <w:ilvl w:val="0"/>
          <w:numId w:val="1001"/>
        </w:numPr>
        <w:pStyle w:val="Compact"/>
      </w:pPr>
      <w:r>
        <w:t xml:space="preserve">Compatibilidad con las aplicaciones y servicios productivos.</w:t>
      </w:r>
    </w:p>
    <w:p>
      <w:pPr>
        <w:numPr>
          <w:ilvl w:val="0"/>
          <w:numId w:val="1001"/>
        </w:numPr>
        <w:pStyle w:val="Compact"/>
      </w:pPr>
      <w:r>
        <w:t xml:space="preserve">Restricciones operativas específicas.</w:t>
      </w:r>
    </w:p>
    <w:p>
      <w:pPr>
        <w:numPr>
          <w:ilvl w:val="0"/>
          <w:numId w:val="1001"/>
        </w:numPr>
        <w:pStyle w:val="Compact"/>
      </w:pPr>
      <w:r>
        <w:t xml:space="preserve">Riesgo aceptable conforme al análisis del procedimiento {{ proyecto.codigo_documento_base }}-AR-001.</w:t>
      </w:r>
    </w:p>
    <w:p>
      <w:pPr>
        <w:pStyle w:val="FirstParagraph"/>
      </w:pPr>
      <w:r>
        <w:rPr>
          <w:bCs/>
          <w:b/>
        </w:rPr>
        <w:t xml:space="preserve">Paso 2.</w:t>
      </w:r>
      <w:r>
        <w:t xml:space="preserve"> </w:t>
      </w:r>
      <w:r>
        <w:t xml:space="preserve">Toda divergencia respecto a la baseline de referencia se documentará como</w:t>
      </w:r>
      <w:r>
        <w:t xml:space="preserve"> </w:t>
      </w:r>
      <w:r>
        <w:rPr>
          <w:bCs/>
          <w:b/>
        </w:rPr>
        <w:t xml:space="preserve">excepción justificada</w:t>
      </w:r>
      <w:r>
        <w:t xml:space="preserve"> </w:t>
      </w:r>
      <w:r>
        <w:t xml:space="preserve">con el correspondiente análisis de riesgos.</w:t>
      </w:r>
    </w:p>
    <w:bookmarkEnd w:id="28"/>
    <w:bookmarkStart w:id="29" w:name="X46164561677bd2657d66c6b26b5c41798b1c9d5"/>
    <w:p>
      <w:pPr>
        <w:pStyle w:val="Heading3"/>
      </w:pPr>
      <w:r>
        <w:t xml:space="preserve">4.3 Catálogo de baselines</w:t>
      </w:r>
    </w:p>
    <w:p>
      <w:pPr>
        <w:pStyle w:val="FirstParagraph"/>
      </w:pPr>
      <w:r>
        <w:rPr>
          <w:bCs/>
          <w:b/>
        </w:rPr>
        <w:t xml:space="preserve">Paso 3.</w:t>
      </w:r>
      <w:r>
        <w:t xml:space="preserve"> </w:t>
      </w:r>
      <w:r>
        <w:t xml:space="preserve">El Responsable de la Seguridad mantendrá un</w:t>
      </w:r>
      <w:r>
        <w:t xml:space="preserve"> </w:t>
      </w:r>
      <w:r>
        <w:rPr>
          <w:bCs/>
          <w:b/>
        </w:rPr>
        <w:t xml:space="preserve">Catálogo de Baselines</w:t>
      </w:r>
      <w:r>
        <w:t xml:space="preserve"> </w:t>
      </w:r>
      <w:r>
        <w:t xml:space="preserve">del SGSI que incluya, como mínimo, las siguientes: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servidor (Ubuntu, RHEL, Debian)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 + adaptaciones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 + Microsoft Security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 de trabajo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 + Microsoft Security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 de trabajo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Bases de datos PostgreSQL / MySQL / 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 web (Nginx, Apache, IIS)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Contenedores Docker /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 + ENISA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/ Azure / 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 cloud + Well-Architected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Dispositivos de red (Cisco, Fortinet)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STIG + recomendaciones del fabricante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del CPSTIC del CCN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Guías CCN-STIC específicas</w:t>
            </w:r>
          </w:p>
        </w:tc>
      </w:tr>
    </w:tbl>
    <w:bookmarkEnd w:id="29"/>
    <w:bookmarkEnd w:id="30"/>
    <w:bookmarkStart w:id="35" w:name="X16e3d8d9fc04e6fc8f2c04c2d9a2e39129fddac"/>
    <w:p>
      <w:pPr>
        <w:pStyle w:val="Heading2"/>
      </w:pPr>
      <w:r>
        <w:t xml:space="preserve">5. PROCESO DE HARDENING DE NUEVOS SISTEMAS</w:t>
      </w:r>
    </w:p>
    <w:bookmarkStart w:id="31" w:name="Xbfb001549c06be01f75c523f25c591f7df34450"/>
    <w:p>
      <w:pPr>
        <w:pStyle w:val="Heading3"/>
      </w:pPr>
      <w:r>
        <w:t xml:space="preserve">5.1 Análisis previo</w:t>
      </w:r>
    </w:p>
    <w:p>
      <w:pPr>
        <w:pStyle w:val="FirstParagraph"/>
      </w:pPr>
      <w:r>
        <w:rPr>
          <w:bCs/>
          <w:b/>
        </w:rPr>
        <w:t xml:space="preserve">Paso 4.</w:t>
      </w:r>
      <w:r>
        <w:t xml:space="preserve"> </w:t>
      </w:r>
      <w:r>
        <w:t xml:space="preserve">Antes de la instalación de un nuevo sistema, el Responsable del Sistema identifica:</w:t>
      </w:r>
    </w:p>
    <w:p>
      <w:pPr>
        <w:numPr>
          <w:ilvl w:val="0"/>
          <w:numId w:val="1002"/>
        </w:numPr>
        <w:pStyle w:val="Compact"/>
      </w:pPr>
      <w:r>
        <w:t xml:space="preserve">Tipo de sistema y baseline aplicable.</w:t>
      </w:r>
    </w:p>
    <w:p>
      <w:pPr>
        <w:numPr>
          <w:ilvl w:val="0"/>
          <w:numId w:val="1002"/>
        </w:numPr>
        <w:pStyle w:val="Compact"/>
      </w:pPr>
      <w:r>
        <w:t xml:space="preserve">Función específica que va a desempeñar.</w:t>
      </w:r>
    </w:p>
    <w:p>
      <w:pPr>
        <w:numPr>
          <w:ilvl w:val="0"/>
          <w:numId w:val="1002"/>
        </w:numPr>
        <w:pStyle w:val="Compact"/>
      </w:pPr>
      <w:r>
        <w:t xml:space="preserve">Nivel de seguridad exigible conforme a la categoría ENS del servicio que sustenta.</w:t>
      </w:r>
    </w:p>
    <w:p>
      <w:pPr>
        <w:numPr>
          <w:ilvl w:val="0"/>
          <w:numId w:val="1002"/>
        </w:numPr>
        <w:pStyle w:val="Compact"/>
      </w:pPr>
      <w:r>
        <w:t xml:space="preserve">Excepciones previsibles a la baseline.</w:t>
      </w:r>
    </w:p>
    <w:bookmarkEnd w:id="31"/>
    <w:bookmarkStart w:id="32" w:name="Xbe5411f1de0737026576bd8724e21c5d2eb2426"/>
    <w:p>
      <w:pPr>
        <w:pStyle w:val="Heading3"/>
      </w:pPr>
      <w:r>
        <w:t xml:space="preserve">5.2 Instalación y hardening</w:t>
      </w:r>
    </w:p>
    <w:p>
      <w:pPr>
        <w:pStyle w:val="FirstParagraph"/>
      </w:pPr>
      <w:r>
        <w:rPr>
          <w:bCs/>
          <w:b/>
        </w:rPr>
        <w:t xml:space="preserve">Paso 5.</w:t>
      </w:r>
      <w:r>
        <w:t xml:space="preserve"> </w:t>
      </w:r>
      <w:r>
        <w:t xml:space="preserve">La instalación se realiza utilizando, cuando sea posible, plantillas Infrastructure as Code (IaC) preconfiguradas con la baseline aplicable.</w:t>
      </w:r>
    </w:p>
    <w:p>
      <w:pPr>
        <w:pStyle w:val="BodyText"/>
      </w:pPr>
      <w:r>
        <w:rPr>
          <w:bCs/>
          <w:b/>
        </w:rPr>
        <w:t xml:space="preserve">Paso 6.</w:t>
      </w:r>
      <w:r>
        <w:t xml:space="preserve"> </w:t>
      </w:r>
      <w:r>
        <w:t xml:space="preserve">Tras la instalación se aplica el procedimiento de hardening específico documentado en la</w:t>
      </w:r>
      <w:r>
        <w:t xml:space="preserve"> </w:t>
      </w:r>
      <w:r>
        <w:rPr>
          <w:bCs/>
          <w:b/>
        </w:rPr>
        <w:t xml:space="preserve">Instrucción Técnica IT-219-XX</w:t>
      </w:r>
      <w:r>
        <w:t xml:space="preserve"> </w:t>
      </w:r>
      <w:r>
        <w:t xml:space="preserve">correspondiente al tipo de sistema, que incluye:</w:t>
      </w:r>
    </w:p>
    <w:p>
      <w:pPr>
        <w:numPr>
          <w:ilvl w:val="0"/>
          <w:numId w:val="1003"/>
        </w:numPr>
        <w:pStyle w:val="Compact"/>
      </w:pPr>
      <w:r>
        <w:t xml:space="preserve">Eliminación de servicios y software innecesarios.</w:t>
      </w:r>
    </w:p>
    <w:p>
      <w:pPr>
        <w:numPr>
          <w:ilvl w:val="0"/>
          <w:numId w:val="1003"/>
        </w:numPr>
        <w:pStyle w:val="Compact"/>
      </w:pPr>
      <w:r>
        <w:t xml:space="preserve">Configuración de cuentas: deshabilitar cuentas por defecto, renombrar la administradora local, fijar políticas de contraseñas.</w:t>
      </w:r>
    </w:p>
    <w:p>
      <w:pPr>
        <w:numPr>
          <w:ilvl w:val="0"/>
          <w:numId w:val="1003"/>
        </w:numPr>
        <w:pStyle w:val="Compact"/>
      </w:pPr>
      <w:r>
        <w:t xml:space="preserve">Configuración del firewall local: regla por defecto DENY, apertura solo de puertos estrictamente necesarios.</w:t>
      </w:r>
    </w:p>
    <w:p>
      <w:pPr>
        <w:numPr>
          <w:ilvl w:val="0"/>
          <w:numId w:val="1003"/>
        </w:numPr>
        <w:pStyle w:val="Compact"/>
      </w:pPr>
      <w:r>
        <w:t xml:space="preserve">Configuración del sistema de logging conforme al procedimiento {{ proyecto.codigo_documento_base }}-220.</w:t>
      </w:r>
    </w:p>
    <w:p>
      <w:pPr>
        <w:numPr>
          <w:ilvl w:val="0"/>
          <w:numId w:val="1003"/>
        </w:numPr>
        <w:pStyle w:val="Compact"/>
      </w:pPr>
      <w:r>
        <w:t xml:space="preserve">Configuración del sistema de actualizaciones automáticas conforme al procedimiento {{ proyecto.codigo_documento_base }}-205.</w:t>
      </w:r>
    </w:p>
    <w:p>
      <w:pPr>
        <w:numPr>
          <w:ilvl w:val="0"/>
          <w:numId w:val="1003"/>
        </w:numPr>
        <w:pStyle w:val="Compact"/>
      </w:pPr>
      <w:r>
        <w:t xml:space="preserve">Configuración del antimalware corporativo cuando proceda.</w:t>
      </w:r>
    </w:p>
    <w:p>
      <w:pPr>
        <w:numPr>
          <w:ilvl w:val="0"/>
          <w:numId w:val="1003"/>
        </w:numPr>
        <w:pStyle w:val="Compact"/>
      </w:pPr>
      <w:r>
        <w:t xml:space="preserve">Restricciones de protocolos y cifrados (TLS, SSH).</w:t>
      </w:r>
    </w:p>
    <w:p>
      <w:pPr>
        <w:numPr>
          <w:ilvl w:val="0"/>
          <w:numId w:val="1003"/>
        </w:numPr>
        <w:pStyle w:val="Compact"/>
      </w:pPr>
      <w:r>
        <w:t xml:space="preserve">Eliminación de banners informativos innecesarios.</w:t>
      </w:r>
    </w:p>
    <w:p>
      <w:pPr>
        <w:numPr>
          <w:ilvl w:val="0"/>
          <w:numId w:val="1003"/>
        </w:numPr>
        <w:pStyle w:val="Compact"/>
      </w:pPr>
      <w:r>
        <w:t xml:space="preserve">Configuración de auditoría.</w:t>
      </w:r>
    </w:p>
    <w:p>
      <w:pPr>
        <w:numPr>
          <w:ilvl w:val="0"/>
          <w:numId w:val="1003"/>
        </w:numPr>
        <w:pStyle w:val="Compact"/>
      </w:pPr>
      <w:r>
        <w:t xml:space="preserve">Configuración del sincronismo de tiempo con servidor NTP corporativo.</w:t>
      </w:r>
    </w:p>
    <w:bookmarkEnd w:id="32"/>
    <w:bookmarkStart w:id="33" w:name="X475fde9bcbb7b61dfbd6a7aed805e5239dee088"/>
    <w:p>
      <w:pPr>
        <w:pStyle w:val="Heading3"/>
      </w:pPr>
      <w:r>
        <w:t xml:space="preserve">5.3 Validación</w:t>
      </w:r>
    </w:p>
    <w:p>
      <w:pPr>
        <w:pStyle w:val="FirstParagraph"/>
      </w:pPr>
      <w:r>
        <w:rPr>
          <w:bCs/>
          <w:b/>
        </w:rPr>
        <w:t xml:space="preserve">Paso 7.</w:t>
      </w:r>
      <w:r>
        <w:t xml:space="preserve"> </w:t>
      </w:r>
      <w:r>
        <w:t xml:space="preserve">Tras el hardening se ejecuta una</w:t>
      </w:r>
      <w:r>
        <w:t xml:space="preserve"> </w:t>
      </w:r>
      <w:r>
        <w:rPr>
          <w:bCs/>
          <w:b/>
        </w:rPr>
        <w:t xml:space="preserve">validación automática</w:t>
      </w:r>
      <w:r>
        <w:t xml:space="preserve"> </w:t>
      </w:r>
      <w:r>
        <w:t xml:space="preserve">mediante herramienta de cumplimiento (CIS-CAT, OpenSCAP, Lynis, Wazuh u otras), que verifica el grado de cumplimiento con la baseline.</w:t>
      </w:r>
    </w:p>
    <w:p>
      <w:pPr>
        <w:pStyle w:val="BodyText"/>
      </w:pPr>
      <w:r>
        <w:rPr>
          <w:bCs/>
          <w:b/>
        </w:rPr>
        <w:t xml:space="preserve">Paso 8.</w:t>
      </w:r>
      <w:r>
        <w:t xml:space="preserve"> </w:t>
      </w:r>
      <w:r>
        <w:t xml:space="preserve">El umbral mínimo aceptable de cumplimiento es del</w:t>
      </w:r>
      <w:r>
        <w:t xml:space="preserve"> </w:t>
      </w:r>
      <w:r>
        <w:rPr>
          <w:bCs/>
          <w:b/>
        </w:rPr>
        <w:t xml:space="preserve">85%</w:t>
      </w:r>
      <w:r>
        <w:t xml:space="preserve"> </w:t>
      </w:r>
      <w:r>
        <w:t xml:space="preserve">para sistemas de categoría BÁSICA y del</w:t>
      </w:r>
      <w:r>
        <w:t xml:space="preserve"> </w:t>
      </w:r>
      <w:r>
        <w:rPr>
          <w:bCs/>
          <w:b/>
        </w:rPr>
        <w:t xml:space="preserve">90%</w:t>
      </w:r>
      <w:r>
        <w:t xml:space="preserve"> </w:t>
      </w:r>
      <w:r>
        <w:t xml:space="preserve">para categorías MEDIA y ALTA.</w:t>
      </w:r>
    </w:p>
    <w:p>
      <w:pPr>
        <w:pStyle w:val="BodyText"/>
      </w:pPr>
      <w:r>
        <w:rPr>
          <w:bCs/>
          <w:b/>
        </w:rPr>
        <w:t xml:space="preserve">Paso 9.</w:t>
      </w:r>
      <w:r>
        <w:t xml:space="preserve"> </w:t>
      </w:r>
      <w:r>
        <w:t xml:space="preserve">Las divergencias se analizan caso por caso:</w:t>
      </w:r>
    </w:p>
    <w:p>
      <w:pPr>
        <w:numPr>
          <w:ilvl w:val="0"/>
          <w:numId w:val="1004"/>
        </w:numPr>
        <w:pStyle w:val="Compact"/>
      </w:pPr>
      <w:r>
        <w:t xml:space="preserve">Si pueden corregirse, se corrigen y se reverifica.</w:t>
      </w:r>
    </w:p>
    <w:p>
      <w:pPr>
        <w:numPr>
          <w:ilvl w:val="0"/>
          <w:numId w:val="1004"/>
        </w:numPr>
        <w:pStyle w:val="Compact"/>
      </w:pPr>
      <w:r>
        <w:t xml:space="preserve">Si no pueden corregirse, se documentan como excepciones justificadas.</w:t>
      </w:r>
    </w:p>
    <w:bookmarkEnd w:id="33"/>
    <w:bookmarkStart w:id="34" w:name="Xb630eaae38209d184be273a62185d7ea2bf866a"/>
    <w:p>
      <w:pPr>
        <w:pStyle w:val="Heading3"/>
      </w:pPr>
      <w:r>
        <w:t xml:space="preserve">5.4 Aceptación y puesta en producción</w:t>
      </w:r>
    </w:p>
    <w:p>
      <w:pPr>
        <w:pStyle w:val="FirstParagraph"/>
      </w:pPr>
      <w:r>
        <w:rPr>
          <w:bCs/>
          <w:b/>
        </w:rPr>
        <w:t xml:space="preserve">Paso 10.</w:t>
      </w:r>
      <w:r>
        <w:t xml:space="preserve"> </w:t>
      </w:r>
      <w:r>
        <w:t xml:space="preserve">Una vez validado el hardening, el sistema se pone en producción siguiendo el procedimiento de gestión de cambios ({{ proyecto.codigo_documento_base }}-203).</w:t>
      </w:r>
    </w:p>
    <w:p>
      <w:pPr>
        <w:pStyle w:val="BodyText"/>
      </w:pPr>
      <w:r>
        <w:rPr>
          <w:bCs/>
          <w:b/>
        </w:rPr>
        <w:t xml:space="preserve">Paso 11.</w:t>
      </w:r>
      <w:r>
        <w:t xml:space="preserve"> </w:t>
      </w:r>
      <w:r>
        <w:t xml:space="preserve">Se incorpora al</w:t>
      </w:r>
      <w:r>
        <w:t xml:space="preserve"> </w:t>
      </w:r>
      <w:r>
        <w:rPr>
          <w:bCs/>
          <w:b/>
        </w:rPr>
        <w:t xml:space="preserve">Inventario de Activos</w:t>
      </w:r>
      <w:r>
        <w:t xml:space="preserve"> </w:t>
      </w:r>
      <w:r>
        <w:t xml:space="preserve">y al</w:t>
      </w:r>
      <w:r>
        <w:t xml:space="preserve"> </w:t>
      </w:r>
      <w:r>
        <w:rPr>
          <w:bCs/>
          <w:b/>
        </w:rPr>
        <w:t xml:space="preserve">Inventario de Configuraciones</w:t>
      </w:r>
      <w:r>
        <w:t xml:space="preserve"> </w:t>
      </w:r>
      <w:r>
        <w:t xml:space="preserve">del SGSI.</w:t>
      </w:r>
    </w:p>
    <w:bookmarkEnd w:id="34"/>
    <w:bookmarkEnd w:id="35"/>
    <w:bookmarkStart w:id="39" w:name="X89082d2a9b241ae03e2f225241b91044ffc8873"/>
    <w:p>
      <w:pPr>
        <w:pStyle w:val="Heading2"/>
      </w:pPr>
      <w:r>
        <w:t xml:space="preserve">6. GESTIÓN CONTINUA DE LA CONFIGURACIÓN</w:t>
      </w:r>
    </w:p>
    <w:bookmarkStart w:id="36" w:name="X7d09b0e18376c32c3ca5647c86c1e08228e0271"/>
    <w:p>
      <w:pPr>
        <w:pStyle w:val="Heading3"/>
      </w:pPr>
      <w:r>
        <w:t xml:space="preserve">6.1 Monitorización del cumplimiento</w:t>
      </w:r>
    </w:p>
    <w:p>
      <w:pPr>
        <w:pStyle w:val="FirstParagraph"/>
      </w:pPr>
      <w:r>
        <w:rPr>
          <w:bCs/>
          <w:b/>
        </w:rPr>
        <w:t xml:space="preserve">Paso 12.</w:t>
      </w:r>
      <w:r>
        <w:t xml:space="preserve"> </w:t>
      </w:r>
      <w:r>
        <w:t xml:space="preserve">El cumplimiento de cada sistema con su baseline se monitoriza de forma</w:t>
      </w:r>
      <w:r>
        <w:t xml:space="preserve"> </w:t>
      </w:r>
      <w:r>
        <w:rPr>
          <w:bCs/>
          <w:b/>
        </w:rPr>
        <w:t xml:space="preserve">continua o periódica</w:t>
      </w:r>
      <w:r>
        <w:t xml:space="preserve"> </w:t>
      </w:r>
      <w:r>
        <w:t xml:space="preserve">mediante:</w:t>
      </w:r>
    </w:p>
    <w:p>
      <w:pPr>
        <w:numPr>
          <w:ilvl w:val="0"/>
          <w:numId w:val="1005"/>
        </w:numPr>
        <w:pStyle w:val="Compact"/>
      </w:pPr>
      <w:r>
        <w:t xml:space="preserve">Agentes de cumplimiento instalados en los sistemas.</w:t>
      </w:r>
    </w:p>
    <w:p>
      <w:pPr>
        <w:numPr>
          <w:ilvl w:val="0"/>
          <w:numId w:val="1005"/>
        </w:numPr>
        <w:pStyle w:val="Compact"/>
      </w:pPr>
      <w:r>
        <w:t xml:space="preserve">Escaneos programados desde una herramienta centralizada.</w:t>
      </w:r>
    </w:p>
    <w:p>
      <w:pPr>
        <w:numPr>
          <w:ilvl w:val="0"/>
          <w:numId w:val="1005"/>
        </w:numPr>
        <w:pStyle w:val="Compact"/>
      </w:pPr>
      <w:r>
        <w:t xml:space="preserve">Integración con el SIEM corporativo cuando sea posible.</w:t>
      </w:r>
    </w:p>
    <w:p>
      <w:pPr>
        <w:pStyle w:val="FirstParagraph"/>
      </w:pPr>
      <w:r>
        <w:rPr>
          <w:bCs/>
          <w:b/>
        </w:rPr>
        <w:t xml:space="preserve">Paso 13.</w:t>
      </w:r>
      <w:r>
        <w:t xml:space="preserve"> </w:t>
      </w:r>
      <w:r>
        <w:t xml:space="preserve">Las desviaciones detectadas generan alertas que son tratadas por el Responsable del Sistema en los siguientes plazos: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 de la desviación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 de corrección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días</w:t>
            </w:r>
          </w:p>
        </w:tc>
      </w:tr>
    </w:tbl>
    <w:bookmarkEnd w:id="36"/>
    <w:bookmarkStart w:id="37" w:name="X304ce288f819fe768cfd160d57cacc0c9da7de9"/>
    <w:p>
      <w:pPr>
        <w:pStyle w:val="Heading3"/>
      </w:pPr>
      <w:r>
        <w:t xml:space="preserve">6.2 Cambios autorizados</w:t>
      </w:r>
    </w:p>
    <w:p>
      <w:pPr>
        <w:pStyle w:val="FirstParagraph"/>
      </w:pPr>
      <w:r>
        <w:rPr>
          <w:bCs/>
          <w:b/>
        </w:rPr>
        <w:t xml:space="preserve">Paso 14.</w:t>
      </w:r>
      <w:r>
        <w:t xml:space="preserve"> </w:t>
      </w:r>
      <w:r>
        <w:t xml:space="preserve">Cualquier modificación intencional de la configuración debe gestionarse a través del procedimiento de gestión de cambios ({{ proyecto.codigo_documento_base }}-203), actualizándose la documentación del sistema y, cuando proceda, la propia baseline.</w:t>
      </w:r>
    </w:p>
    <w:bookmarkEnd w:id="37"/>
    <w:bookmarkStart w:id="38" w:name="X0afac74dbafcf72d67f1dda72a84a15399967a3"/>
    <w:p>
      <w:pPr>
        <w:pStyle w:val="Heading3"/>
      </w:pPr>
      <w:r>
        <w:t xml:space="preserve">6.3 Cambios no autorizados (drift)</w:t>
      </w:r>
    </w:p>
    <w:p>
      <w:pPr>
        <w:pStyle w:val="FirstParagraph"/>
      </w:pPr>
      <w:r>
        <w:rPr>
          <w:bCs/>
          <w:b/>
        </w:rPr>
        <w:t xml:space="preserve">Paso 15.</w:t>
      </w:r>
      <w:r>
        <w:t xml:space="preserve"> </w:t>
      </w:r>
      <w:r>
        <w:t xml:space="preserve">Cuando se detecta una modificación no autorizada de la configuración (drift), el Responsable de la Seguridad:</w:t>
      </w:r>
    </w:p>
    <w:p>
      <w:pPr>
        <w:numPr>
          <w:ilvl w:val="0"/>
          <w:numId w:val="1006"/>
        </w:numPr>
        <w:pStyle w:val="Compact"/>
      </w:pPr>
      <w:r>
        <w:t xml:space="preserve">Analiza el cambio y determina su origen.</w:t>
      </w:r>
    </w:p>
    <w:p>
      <w:pPr>
        <w:numPr>
          <w:ilvl w:val="0"/>
          <w:numId w:val="1006"/>
        </w:numPr>
        <w:pStyle w:val="Compact"/>
      </w:pPr>
      <w:r>
        <w:t xml:space="preserve">Decide si se trata de un incidente que requiera activar el procedimiento {{ proyecto.codigo_documento_base }}-204.</w:t>
      </w:r>
    </w:p>
    <w:p>
      <w:pPr>
        <w:numPr>
          <w:ilvl w:val="0"/>
          <w:numId w:val="1006"/>
        </w:numPr>
        <w:pStyle w:val="Compact"/>
      </w:pPr>
      <w:r>
        <w:t xml:space="preserve">Restaura la configuración correcta.</w:t>
      </w:r>
    </w:p>
    <w:p>
      <w:pPr>
        <w:numPr>
          <w:ilvl w:val="0"/>
          <w:numId w:val="1006"/>
        </w:numPr>
        <w:pStyle w:val="Compact"/>
      </w:pPr>
      <w:r>
        <w:t xml:space="preserve">Refuerza los controles para evitar la repetición.</w:t>
      </w:r>
    </w:p>
    <w:bookmarkEnd w:id="38"/>
    <w:bookmarkEnd w:id="39"/>
    <w:bookmarkStart w:id="40" w:name="X56afaaacd0c827b62db9d9504bb3483bf72c0d1"/>
    <w:p>
      <w:pPr>
        <w:pStyle w:val="Heading2"/>
      </w:pPr>
      <w:r>
        <w:t xml:space="preserve">7. REVISIÓN PERIÓDICA DE LAS BASELINES</w:t>
      </w:r>
    </w:p>
    <w:p>
      <w:pPr>
        <w:pStyle w:val="FirstParagraph"/>
      </w:pPr>
      <w:r>
        <w:rPr>
          <w:bCs/>
          <w:b/>
        </w:rPr>
        <w:t xml:space="preserve">Paso 16.</w:t>
      </w:r>
      <w:r>
        <w:t xml:space="preserve"> </w:t>
      </w:r>
      <w:r>
        <w:t xml:space="preserve">Las baselines se revisan al menos</w:t>
      </w:r>
      <w:r>
        <w:t xml:space="preserve"> </w:t>
      </w:r>
      <w:r>
        <w:rPr>
          <w:bCs/>
          <w:b/>
        </w:rPr>
        <w:t xml:space="preserve">anualmente</w:t>
      </w:r>
      <w:r>
        <w:t xml:space="preserve"> </w:t>
      </w:r>
      <w:r>
        <w:t xml:space="preserve">por el Responsable de la Seguridad, atendiendo a:</w:t>
      </w:r>
    </w:p>
    <w:p>
      <w:pPr>
        <w:numPr>
          <w:ilvl w:val="0"/>
          <w:numId w:val="1007"/>
        </w:numPr>
        <w:pStyle w:val="Compact"/>
      </w:pPr>
      <w:r>
        <w:t xml:space="preserve">Actualizaciones de las baselines de referencia (CIS, STIG, CCN-STIC).</w:t>
      </w:r>
    </w:p>
    <w:p>
      <w:pPr>
        <w:numPr>
          <w:ilvl w:val="0"/>
          <w:numId w:val="1007"/>
        </w:numPr>
        <w:pStyle w:val="Compact"/>
      </w:pPr>
      <w:r>
        <w:t xml:space="preserve">Nuevas vulnerabilidades publicadas.</w:t>
      </w:r>
    </w:p>
    <w:p>
      <w:pPr>
        <w:numPr>
          <w:ilvl w:val="0"/>
          <w:numId w:val="1007"/>
        </w:numPr>
        <w:pStyle w:val="Compact"/>
      </w:pPr>
      <w:r>
        <w:t xml:space="preserve">Lecciones aprendidas de incidentes.</w:t>
      </w:r>
    </w:p>
    <w:p>
      <w:pPr>
        <w:numPr>
          <w:ilvl w:val="0"/>
          <w:numId w:val="1007"/>
        </w:numPr>
        <w:pStyle w:val="Compact"/>
      </w:pPr>
      <w:r>
        <w:t xml:space="preserve">Nuevas necesidades operativas.</w:t>
      </w:r>
    </w:p>
    <w:p>
      <w:pPr>
        <w:numPr>
          <w:ilvl w:val="0"/>
          <w:numId w:val="1007"/>
        </w:numPr>
        <w:pStyle w:val="Compact"/>
      </w:pPr>
      <w:r>
        <w:t xml:space="preserve">Cambios en el inventario tecnológico.</w:t>
      </w:r>
    </w:p>
    <w:p>
      <w:pPr>
        <w:pStyle w:val="FirstParagraph"/>
      </w:pPr>
      <w:r>
        <w:rPr>
          <w:bCs/>
          <w:b/>
        </w:rPr>
        <w:t xml:space="preserve">Paso 17.</w:t>
      </w:r>
      <w:r>
        <w:t xml:space="preserve"> </w:t>
      </w:r>
      <w:r>
        <w:t xml:space="preserve">Las modificaciones aprobadas se aplican a los sistemas existentes según el calendario que apruebe el Comité de Seguridad, priorizando los sistemas de mayor categoría.</w:t>
      </w:r>
    </w:p>
    <w:bookmarkEnd w:id="40"/>
    <w:bookmarkStart w:id="41" w:name="X776213e93715b62b579b0b25b383d0b604e5ad7"/>
    <w:p>
      <w:pPr>
        <w:pStyle w:val="Heading2"/>
      </w:pPr>
      <w:r>
        <w:t xml:space="preserve">8.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con baseline aplicada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medio con la baseline (todos los sistemas)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Desviaciones críticas abiertas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Antigüedad media de la última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Excepciones documentadas y autorizadas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no autorizado detectado y resuelto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41"/>
    <w:bookmarkStart w:id="42" w:name="Xf5159e98ca8285787b9acd10f515446ffe11461"/>
    <w:p>
      <w:pPr>
        <w:pStyle w:val="Heading2"/>
      </w:pPr>
      <w:r>
        <w:t xml:space="preserve">9. ANEXOS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Catálogo de Baselines del SGSI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Plantilla de Excepción a la Baseline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Formulario de Validación de Hardening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Listado de Instrucciones Técnicas IT-219-XX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}}-IT-001 — Versión {{ proyecto.version_actual }} — Clasificación: INTERNA</w:t>
      </w:r>
    </w:p>
    <w:bookmarkEnd w:id="42"/>
    <w:bookmarkEnd w:id="43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E-IT-001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E-IT-001 · PROCEDIMIENTO DE HARDENING Y CONFIGURACIÓN SEGURA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2026-06-12T10:12:21Z</dcterms:created>
  <dcterms:modified xsi:type="dcterms:W3CDTF">2026-06-12T10:12:21Z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}}-IT-001</vt:lpwstr>
  </property>
  <property fmtid="{D5CDD505-2E9C-101B-9397-08002B2CF9AE}" pid="4" name="fecha_aprobacion">
    <vt:lpwstr>{{ proyecto.fecha_aprobacion_inicial }}</vt:lpwstr>
  </property>
  <property fmtid="{D5CDD505-2E9C-101B-9397-08002B2CF9AE}" pid="5" name="fecha_proxima_revision">
    <vt:lpwstr>{{ proyecto.proxima_revision }}</vt:lpwstr>
  </property>
  <property fmtid="{D5CDD505-2E9C-101B-9397-08002B2CF9AE}" pid="6" name="politica_madre">
    <vt:lpwstr>{{ proyecto.codigo_documento_base }}-100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Procedimiento de Hardening y Configuración Segura</vt:lpwstr>
  </property>
  <property fmtid="{D5CDD505-2E9C-101B-9397-08002B2CF9AE}" pid="9" name="version">
    <vt:lpwstr>{{ proyecto.version_actual }}</vt:lpwstr>
  </property>
</Properties>
</file>