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be98fc1d27476a0c1976a175f6ceefb406d701"/>
    <w:p>
      <w:pPr>
        <w:pStyle w:val="Heading1"/>
      </w:pPr>
      <w:r>
        <w:t xml:space="preserve">PROCEDIMIENTO DE CONCIENCIACIÓN Y FORMACIÓN EN SEGURIDAD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}}-PF-001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mediante el cual {{ cliente.razon_social }} planifica, ejecuta, mide y mejora las actividades de concienciación y formación en seguridad de la información dirigidas a su personal y a los terceros con acceso a sus sistemas, en cumplimiento de las medidas</w:t>
      </w:r>
      <w:r>
        <w:t xml:space="preserve"> </w:t>
      </w:r>
      <w:r>
        <w:rPr>
          <w:bCs/>
          <w:b/>
        </w:rPr>
        <w:t xml:space="preserve">mp.per.3 (Concienciación)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mp.per.4 (Formación)</w:t>
      </w:r>
      <w:r>
        <w:t xml:space="preserve"> </w:t>
      </w:r>
      <w:r>
        <w:t xml:space="preserve">del Anexo II del Real Decreto 311/2022 y conforme al</w:t>
      </w:r>
      <w:r>
        <w:t xml:space="preserve"> </w:t>
      </w:r>
      <w:r>
        <w:rPr>
          <w:bCs/>
          <w:b/>
        </w:rPr>
        <w:t xml:space="preserve">Plan Anual de Concienciación y Formación</w:t>
      </w:r>
      <w:r>
        <w:t xml:space="preserve"> </w:t>
      </w:r>
      <w:r>
        <w:t xml:space="preserve">aprobado por el Comité de Seguridad.</w:t>
      </w:r>
    </w:p>
    <w:bookmarkEnd w:id="20"/>
    <w:bookmarkStart w:id="21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a:</w:t>
      </w:r>
    </w:p>
    <w:p>
      <w:pPr>
        <w:pStyle w:val="BodyText"/>
      </w:pPr>
      <w:r>
        <w:t xml:space="preserve">a) Todo el personal de la Entidad, con independencia de su régimen jurídico, categoría profesional o modalidad de contratación.</w:t>
      </w:r>
    </w:p>
    <w:p>
      <w:pPr>
        <w:pStyle w:val="BodyText"/>
      </w:pPr>
      <w:r>
        <w:t xml:space="preserve">b) Personal externo y proveedores con acceso a sistemas de la Entidad, en la medida que sus contratos lo establezcan.</w:t>
      </w:r>
    </w:p>
    <w:p>
      <w:pPr>
        <w:pStyle w:val="BodyText"/>
      </w:pPr>
      <w:r>
        <w:t xml:space="preserve">c) Personal de nueva incorporación, durante el proceso de acogida.</w:t>
      </w:r>
    </w:p>
    <w:p>
      <w:pPr>
        <w:pStyle w:val="BodyText"/>
      </w:pPr>
      <w:r>
        <w:t xml:space="preserve">d) Becarios, personal en prácticas y personal eventual.</w:t>
      </w:r>
    </w:p>
    <w:bookmarkEnd w:id="21"/>
    <w:bookmarkStart w:id="22" w:name="X5f08b154772a2b8d37e41ead7dec8702f94dd01"/>
    <w:p>
      <w:pPr>
        <w:pStyle w:val="Heading2"/>
      </w:pPr>
      <w:r>
        <w:t xml:space="preserve">3. SEGMENTACIÓN DE LA AUDIENCIA</w:t>
      </w:r>
    </w:p>
    <w:p>
      <w:pPr>
        <w:pStyle w:val="FirstParagraph"/>
      </w:pPr>
      <w:r>
        <w:t xml:space="preserve">A los efectos del presente procedimiento, el personal se segmenta en los siguientes grupos, cada uno con necesidades formativas específicas: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principal de 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 —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personal sin perfil técnico ni privilegiado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Higiene digital, phishing, contraseñas, uso aceptable, RGPD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 — Funcional con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que trata datos personales en su día a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 avanzado, brechas, derechos de los interesados, secreto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 —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del departamento TI con responsabilidades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segura, hardening, gestión de incidentes, vulnerabilidades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 — Privilegiado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 con privilegios elevados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avanzada, defensa en profundidad, threat hunting,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G5 — 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directivo y miembros del órgano de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estratégicos, gobernanza, obligaciones legales del 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 — Roles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 designadas como roles del art. 11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normativo ENS, MAGERIT, gestión del SGSI</w:t>
            </w:r>
          </w:p>
        </w:tc>
      </w:tr>
    </w:tbl>
    <w:bookmarkEnd w:id="22"/>
    <w:bookmarkStart w:id="25" w:name="Xebe3969cd163d723ce2b261c1014c9ee1867167"/>
    <w:p>
      <w:pPr>
        <w:pStyle w:val="Heading2"/>
      </w:pPr>
      <w:r>
        <w:t xml:space="preserve">4. PLAN ANUAL DE CONCIENCIACIÓN Y FORMACIÓN</w:t>
      </w:r>
    </w:p>
    <w:bookmarkStart w:id="23" w:name="X00eb39b690738101b416b415ee4e5e2a5897ea1"/>
    <w:p>
      <w:pPr>
        <w:pStyle w:val="Heading3"/>
      </w:pPr>
      <w:r>
        <w:t xml:space="preserve">4.1 Elaboración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Durante el mes de enero de cada año, el Responsable de la Seguridad elabora el</w:t>
      </w:r>
      <w:r>
        <w:t xml:space="preserve"> </w:t>
      </w:r>
      <w:r>
        <w:rPr>
          <w:bCs/>
          <w:b/>
        </w:rPr>
        <w:t xml:space="preserve">Plan Anual de Concienciación y Formación</w:t>
      </w:r>
      <w:r>
        <w:t xml:space="preserve"> </w:t>
      </w:r>
      <w:r>
        <w:t xml:space="preserve">que incluirá:</w:t>
      </w:r>
    </w:p>
    <w:p>
      <w:pPr>
        <w:numPr>
          <w:ilvl w:val="0"/>
          <w:numId w:val="1001"/>
        </w:numPr>
        <w:pStyle w:val="Compact"/>
      </w:pPr>
      <w:r>
        <w:t xml:space="preserve">Objetivos generales y específicos por grupo.</w:t>
      </w:r>
    </w:p>
    <w:p>
      <w:pPr>
        <w:numPr>
          <w:ilvl w:val="0"/>
          <w:numId w:val="1001"/>
        </w:numPr>
        <w:pStyle w:val="Compact"/>
      </w:pPr>
      <w:r>
        <w:t xml:space="preserve">Acciones formativas previstas con su contenido, modalidad y duración.</w:t>
      </w:r>
    </w:p>
    <w:p>
      <w:pPr>
        <w:numPr>
          <w:ilvl w:val="0"/>
          <w:numId w:val="1001"/>
        </w:numPr>
        <w:pStyle w:val="Compact"/>
      </w:pPr>
      <w:r>
        <w:t xml:space="preserve">Calendario de ejecución.</w:t>
      </w:r>
    </w:p>
    <w:p>
      <w:pPr>
        <w:numPr>
          <w:ilvl w:val="0"/>
          <w:numId w:val="1001"/>
        </w:numPr>
        <w:pStyle w:val="Compact"/>
      </w:pPr>
      <w:r>
        <w:t xml:space="preserve">Audiencia objetivo de cada acción.</w:t>
      </w:r>
    </w:p>
    <w:p>
      <w:pPr>
        <w:numPr>
          <w:ilvl w:val="0"/>
          <w:numId w:val="1001"/>
        </w:numPr>
        <w:pStyle w:val="Compact"/>
      </w:pPr>
      <w:r>
        <w:t xml:space="preserve">Mecanismos de evaluación previstos.</w:t>
      </w:r>
    </w:p>
    <w:p>
      <w:pPr>
        <w:numPr>
          <w:ilvl w:val="0"/>
          <w:numId w:val="1001"/>
        </w:numPr>
        <w:pStyle w:val="Compact"/>
      </w:pPr>
      <w:r>
        <w:t xml:space="preserve">Indicadores de éxito.</w:t>
      </w:r>
    </w:p>
    <w:p>
      <w:pPr>
        <w:numPr>
          <w:ilvl w:val="0"/>
          <w:numId w:val="1001"/>
        </w:numPr>
        <w:pStyle w:val="Compact"/>
      </w:pPr>
      <w:r>
        <w:t xml:space="preserve">Recursos necesarios (presupuesto, formadores, plataforma).</w:t>
      </w:r>
    </w:p>
    <w:p>
      <w:pPr>
        <w:pStyle w:val="FirstParagraph"/>
      </w:pPr>
      <w:r>
        <w:rPr>
          <w:bCs/>
          <w:b/>
        </w:rPr>
        <w:t xml:space="preserve">Paso 2.</w:t>
      </w:r>
      <w:r>
        <w:t xml:space="preserve"> </w:t>
      </w:r>
      <w:r>
        <w:t xml:space="preserve">El Plan se eleva al Comité de Seguridad para aprobación en su primera reunión ordinaria del año.</w:t>
      </w:r>
    </w:p>
    <w:bookmarkEnd w:id="23"/>
    <w:bookmarkStart w:id="24" w:name="Xa5acf0b8059ed48815c55982ebe7765e8f0fa90"/>
    <w:p>
      <w:pPr>
        <w:pStyle w:val="Heading3"/>
      </w:pPr>
      <w:r>
        <w:t xml:space="preserve">4.2 Contenidos mínimos exigibles</w:t>
      </w:r>
    </w:p>
    <w:p>
      <w:pPr>
        <w:pStyle w:val="FirstParagraph"/>
      </w:pPr>
      <w:r>
        <w:t xml:space="preserve">Por cada grupo de audiencia, el Plan deberá contemplar como mínimo las siguientes acciones formativas anuales: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mínimas 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mínimas/año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—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inicial + 2 píldoras + simulacro 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—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específica RGPD + actualización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—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técnica especializada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— Privilegiado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avanzada + ejercicios prácticos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— 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ejecutiva + briefing 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 — Roles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específica ENS + actualización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h</w:t>
            </w:r>
          </w:p>
        </w:tc>
      </w:tr>
    </w:tbl>
    <w:bookmarkEnd w:id="24"/>
    <w:bookmarkEnd w:id="25"/>
    <w:bookmarkStart w:id="30" w:name="Xe8586ce38eab92fe88b730ddaa8cc737f18f334"/>
    <w:p>
      <w:pPr>
        <w:pStyle w:val="Heading2"/>
      </w:pPr>
      <w:r>
        <w:t xml:space="preserve">5. ACCIONES DE CONCIENCIACIÓN</w:t>
      </w:r>
    </w:p>
    <w:bookmarkStart w:id="26" w:name="X11d80f22f4e1fdd578ef46754c52cb34ffe58f8"/>
    <w:p>
      <w:pPr>
        <w:pStyle w:val="Heading3"/>
      </w:pPr>
      <w:r>
        <w:t xml:space="preserve">5.1 Sesión de acogida</w:t>
      </w:r>
    </w:p>
    <w:p>
      <w:pPr>
        <w:pStyle w:val="FirstParagraph"/>
      </w:pPr>
      <w:r>
        <w:rPr>
          <w:bCs/>
          <w:b/>
        </w:rPr>
        <w:t xml:space="preserve">Paso 3.</w:t>
      </w:r>
      <w:r>
        <w:t xml:space="preserve"> </w:t>
      </w:r>
      <w:r>
        <w:t xml:space="preserve">Toda persona de nueva incorporación recibirá, durante su primera semana, una</w:t>
      </w:r>
      <w:r>
        <w:t xml:space="preserve"> </w:t>
      </w:r>
      <w:r>
        <w:rPr>
          <w:bCs/>
          <w:b/>
        </w:rPr>
        <w:t xml:space="preserve">sesión de acogida en seguridad</w:t>
      </w:r>
      <w:r>
        <w:t xml:space="preserve"> </w:t>
      </w:r>
      <w:r>
        <w:t xml:space="preserve">de duración mínima 2 horas que cubra:</w:t>
      </w:r>
    </w:p>
    <w:p>
      <w:pPr>
        <w:numPr>
          <w:ilvl w:val="0"/>
          <w:numId w:val="1002"/>
        </w:numPr>
        <w:pStyle w:val="Compact"/>
      </w:pPr>
      <w:r>
        <w:t xml:space="preserve">Presentación del SGSI y de la Política de Seguridad ({{ proyecto.codigo_documento_base }}-100).</w:t>
      </w:r>
    </w:p>
    <w:p>
      <w:pPr>
        <w:numPr>
          <w:ilvl w:val="0"/>
          <w:numId w:val="1002"/>
        </w:numPr>
        <w:pStyle w:val="Compact"/>
      </w:pPr>
      <w:r>
        <w:t xml:space="preserve">Lectura y firma de la Política de Uso Aceptable ({{ proyecto.codigo_documento_base }}-103).</w:t>
      </w:r>
    </w:p>
    <w:p>
      <w:pPr>
        <w:numPr>
          <w:ilvl w:val="0"/>
          <w:numId w:val="1002"/>
        </w:numPr>
        <w:pStyle w:val="Compact"/>
      </w:pPr>
      <w:r>
        <w:t xml:space="preserve">Normas básicas de higiene digital.</w:t>
      </w:r>
    </w:p>
    <w:p>
      <w:pPr>
        <w:numPr>
          <w:ilvl w:val="0"/>
          <w:numId w:val="1002"/>
        </w:numPr>
        <w:pStyle w:val="Compact"/>
      </w:pPr>
      <w:r>
        <w:t xml:space="preserve">Procedimiento para la notificación de incidentes.</w:t>
      </w:r>
    </w:p>
    <w:p>
      <w:pPr>
        <w:numPr>
          <w:ilvl w:val="0"/>
          <w:numId w:val="1002"/>
        </w:numPr>
        <w:pStyle w:val="Compact"/>
      </w:pPr>
      <w:r>
        <w:t xml:space="preserve">Datos de contacto del Responsable de la Seguridad.</w:t>
      </w:r>
    </w:p>
    <w:p>
      <w:pPr>
        <w:pStyle w:val="FirstParagraph"/>
      </w:pPr>
      <w:r>
        <w:rPr>
          <w:bCs/>
          <w:b/>
        </w:rPr>
        <w:t xml:space="preserve">Paso 4.</w:t>
      </w:r>
      <w:r>
        <w:t xml:space="preserve"> </w:t>
      </w:r>
      <w:r>
        <w:t xml:space="preserve">La sesión se documenta con</w:t>
      </w:r>
      <w:r>
        <w:t xml:space="preserve"> </w:t>
      </w:r>
      <w:r>
        <w:rPr>
          <w:bCs/>
          <w:b/>
        </w:rPr>
        <w:t xml:space="preserve">registro de asistencia firmado</w:t>
      </w:r>
      <w:r>
        <w:t xml:space="preserve"> </w:t>
      </w:r>
      <w:r>
        <w:t xml:space="preserve">y queda incorporada al expediente del trabajador.</w:t>
      </w:r>
    </w:p>
    <w:bookmarkEnd w:id="26"/>
    <w:bookmarkStart w:id="27" w:name="X160620a34650d549c138a7081e46ed22d812ab4"/>
    <w:p>
      <w:pPr>
        <w:pStyle w:val="Heading3"/>
      </w:pPr>
      <w:r>
        <w:t xml:space="preserve">5.2 Píldoras formativas</w:t>
      </w:r>
    </w:p>
    <w:p>
      <w:pPr>
        <w:pStyle w:val="FirstParagraph"/>
      </w:pPr>
      <w:r>
        <w:rPr>
          <w:bCs/>
          <w:b/>
        </w:rPr>
        <w:t xml:space="preserve">Paso 5.</w:t>
      </w:r>
      <w:r>
        <w:t xml:space="preserve"> </w:t>
      </w:r>
      <w:r>
        <w:t xml:space="preserve">Con periodicidad</w:t>
      </w:r>
      <w:r>
        <w:t xml:space="preserve"> </w:t>
      </w:r>
      <w:r>
        <w:rPr>
          <w:bCs/>
          <w:b/>
        </w:rPr>
        <w:t xml:space="preserve">trimestral</w:t>
      </w:r>
      <w:r>
        <w:t xml:space="preserve">, el Responsable de la Seguridad distribuye</w:t>
      </w:r>
      <w:r>
        <w:t xml:space="preserve"> </w:t>
      </w:r>
      <w:r>
        <w:rPr>
          <w:bCs/>
          <w:b/>
        </w:rPr>
        <w:t xml:space="preserve">píldoras formativas</w:t>
      </w:r>
      <w:r>
        <w:t xml:space="preserve"> </w:t>
      </w:r>
      <w:r>
        <w:t xml:space="preserve">breves (vídeos de 3-5 minutos, infografías, casos prácticos) sobre temas concretos:</w:t>
      </w:r>
    </w:p>
    <w:p>
      <w:pPr>
        <w:numPr>
          <w:ilvl w:val="0"/>
          <w:numId w:val="1003"/>
        </w:numPr>
        <w:pStyle w:val="Compact"/>
      </w:pPr>
      <w:r>
        <w:t xml:space="preserve">Reconocimiento de phishing y suplantación.</w:t>
      </w:r>
    </w:p>
    <w:p>
      <w:pPr>
        <w:numPr>
          <w:ilvl w:val="0"/>
          <w:numId w:val="1003"/>
        </w:numPr>
        <w:pStyle w:val="Compact"/>
      </w:pPr>
      <w:r>
        <w:t xml:space="preserve">Gestión segura de contraseñas y MFA.</w:t>
      </w:r>
    </w:p>
    <w:p>
      <w:pPr>
        <w:numPr>
          <w:ilvl w:val="0"/>
          <w:numId w:val="1003"/>
        </w:numPr>
        <w:pStyle w:val="Compact"/>
      </w:pPr>
      <w:r>
        <w:t xml:space="preserve">Uso seguro de redes Wi-Fi públicas.</w:t>
      </w:r>
    </w:p>
    <w:p>
      <w:pPr>
        <w:numPr>
          <w:ilvl w:val="0"/>
          <w:numId w:val="1003"/>
        </w:numPr>
        <w:pStyle w:val="Compact"/>
      </w:pPr>
      <w:r>
        <w:t xml:space="preserve">Protección de información en desplazamientos.</w:t>
      </w:r>
    </w:p>
    <w:p>
      <w:pPr>
        <w:numPr>
          <w:ilvl w:val="0"/>
          <w:numId w:val="1003"/>
        </w:numPr>
        <w:pStyle w:val="Compact"/>
      </w:pPr>
      <w:r>
        <w:t xml:space="preserve">Cifrado de dispositivos y soportes.</w:t>
      </w:r>
    </w:p>
    <w:p>
      <w:pPr>
        <w:numPr>
          <w:ilvl w:val="0"/>
          <w:numId w:val="1003"/>
        </w:numPr>
        <w:pStyle w:val="Compact"/>
      </w:pPr>
      <w:r>
        <w:t xml:space="preserve">Ingeniería social telefónica (vishing).</w:t>
      </w:r>
    </w:p>
    <w:p>
      <w:pPr>
        <w:numPr>
          <w:ilvl w:val="0"/>
          <w:numId w:val="1003"/>
        </w:numPr>
        <w:pStyle w:val="Compact"/>
      </w:pPr>
      <w:r>
        <w:t xml:space="preserve">Detección de mensajes fraudulentos (smishing).</w:t>
      </w:r>
    </w:p>
    <w:p>
      <w:pPr>
        <w:numPr>
          <w:ilvl w:val="0"/>
          <w:numId w:val="1003"/>
        </w:numPr>
        <w:pStyle w:val="Compact"/>
      </w:pPr>
      <w:r>
        <w:t xml:space="preserve">Riesgos de redes sociales corporativas.</w:t>
      </w:r>
    </w:p>
    <w:bookmarkEnd w:id="27"/>
    <w:bookmarkStart w:id="28" w:name="X1d3aaa8f9009cc381a122bc197398cba3d109bd"/>
    <w:p>
      <w:pPr>
        <w:pStyle w:val="Heading3"/>
      </w:pPr>
      <w:r>
        <w:t xml:space="preserve">5.3 Simulacros de phishing</w:t>
      </w:r>
    </w:p>
    <w:p>
      <w:pPr>
        <w:pStyle w:val="FirstParagraph"/>
      </w:pPr>
      <w:r>
        <w:rPr>
          <w:bCs/>
          <w:b/>
        </w:rPr>
        <w:t xml:space="preserve">Paso 6.</w:t>
      </w:r>
      <w:r>
        <w:t xml:space="preserve"> </w:t>
      </w:r>
      <w:r>
        <w:t xml:space="preserve">Con periodicidad</w:t>
      </w:r>
      <w:r>
        <w:t xml:space="preserve"> </w:t>
      </w:r>
      <w:r>
        <w:rPr>
          <w:bCs/>
          <w:b/>
        </w:rPr>
        <w:t xml:space="preserve">trimestral</w:t>
      </w:r>
      <w:r>
        <w:t xml:space="preserve">, el Responsable de la Seguridad ejecutará</w:t>
      </w:r>
      <w:r>
        <w:t xml:space="preserve"> </w:t>
      </w:r>
      <w:r>
        <w:rPr>
          <w:bCs/>
          <w:b/>
        </w:rPr>
        <w:t xml:space="preserve">simulacros de phishing controlados</w:t>
      </w:r>
      <w:r>
        <w:t xml:space="preserve"> </w:t>
      </w:r>
      <w:r>
        <w:t xml:space="preserve">dirigidos a toda la audiencia G1, G2, G3, G4 y G5.</w:t>
      </w:r>
    </w:p>
    <w:p>
      <w:pPr>
        <w:pStyle w:val="BodyText"/>
      </w:pPr>
      <w:r>
        <w:rPr>
          <w:bCs/>
          <w:b/>
        </w:rPr>
        <w:t xml:space="preserve">Paso 7.</w:t>
      </w:r>
      <w:r>
        <w:t xml:space="preserve"> </w:t>
      </w:r>
      <w:r>
        <w:t xml:space="preserve">Los simulacros utilizarán plantillas de mensajes que reproduzcan tácticas reales observadas (suplantación de marca, urgencia falsa, premios falsos, falsas notificaciones administrativas).</w:t>
      </w:r>
    </w:p>
    <w:p>
      <w:pPr>
        <w:pStyle w:val="BodyText"/>
      </w:pPr>
      <w:r>
        <w:rPr>
          <w:bCs/>
          <w:b/>
        </w:rPr>
        <w:t xml:space="preserve">Paso 8.</w:t>
      </w:r>
      <w:r>
        <w:t xml:space="preserve"> </w:t>
      </w:r>
      <w:r>
        <w:t xml:space="preserve">Los resultados se analizarán identificando:</w:t>
      </w:r>
    </w:p>
    <w:p>
      <w:pPr>
        <w:numPr>
          <w:ilvl w:val="0"/>
          <w:numId w:val="1004"/>
        </w:numPr>
        <w:pStyle w:val="Compact"/>
      </w:pPr>
      <w:r>
        <w:t xml:space="preserve">Tasa de apertura del mensaje.</w:t>
      </w:r>
    </w:p>
    <w:p>
      <w:pPr>
        <w:numPr>
          <w:ilvl w:val="0"/>
          <w:numId w:val="1004"/>
        </w:numPr>
        <w:pStyle w:val="Compact"/>
      </w:pPr>
      <w:r>
        <w:t xml:space="preserve">Tasa de clic en enlaces.</w:t>
      </w:r>
    </w:p>
    <w:p>
      <w:pPr>
        <w:numPr>
          <w:ilvl w:val="0"/>
          <w:numId w:val="1004"/>
        </w:numPr>
        <w:pStyle w:val="Compact"/>
      </w:pPr>
      <w:r>
        <w:t xml:space="preserve">Tasa de introducción de credenciales.</w:t>
      </w:r>
    </w:p>
    <w:p>
      <w:pPr>
        <w:numPr>
          <w:ilvl w:val="0"/>
          <w:numId w:val="1004"/>
        </w:numPr>
        <w:pStyle w:val="Compact"/>
      </w:pPr>
      <w:r>
        <w:t xml:space="preserve">Tasa de notificación al equipo de seguridad.</w:t>
      </w:r>
    </w:p>
    <w:p>
      <w:pPr>
        <w:pStyle w:val="FirstParagraph"/>
      </w:pPr>
      <w:r>
        <w:rPr>
          <w:bCs/>
          <w:b/>
        </w:rPr>
        <w:t xml:space="preserve">Paso 9.</w:t>
      </w:r>
      <w:r>
        <w:t xml:space="preserve"> </w:t>
      </w:r>
      <w:r>
        <w:t xml:space="preserve">Las personas que caigan en el simulacro reciben formación correctiva específica, sin carácter sancionador en una primera ocasión, y los resultados agregados se elevan al Comité de Seguridad.</w:t>
      </w:r>
    </w:p>
    <w:bookmarkEnd w:id="28"/>
    <w:bookmarkStart w:id="29" w:name="X647dcb0ba3509bf2499049241e9dee7a45d651e"/>
    <w:p>
      <w:pPr>
        <w:pStyle w:val="Heading3"/>
      </w:pPr>
      <w:r>
        <w:t xml:space="preserve">5.4 Campañas temáticas</w:t>
      </w:r>
    </w:p>
    <w:p>
      <w:pPr>
        <w:pStyle w:val="FirstParagraph"/>
      </w:pPr>
      <w:r>
        <w:rPr>
          <w:bCs/>
          <w:b/>
        </w:rPr>
        <w:t xml:space="preserve">Paso 10.</w:t>
      </w:r>
      <w:r>
        <w:t xml:space="preserve"> </w:t>
      </w:r>
      <w:r>
        <w:t xml:space="preserve">La Entidad participará al menos una vez al año en una campaña temática alineada con eventos como el</w:t>
      </w:r>
      <w:r>
        <w:t xml:space="preserve"> </w:t>
      </w:r>
      <w:r>
        <w:rPr>
          <w:bCs/>
          <w:b/>
        </w:rPr>
        <w:t xml:space="preserve">Mes Europeo de la Ciberseguridad</w:t>
      </w:r>
      <w:r>
        <w:t xml:space="preserve"> </w:t>
      </w:r>
      <w:r>
        <w:t xml:space="preserve">(octubre), distribuyendo material divulgativo y organizando charlas o jornadas internas.</w:t>
      </w:r>
    </w:p>
    <w:bookmarkEnd w:id="29"/>
    <w:bookmarkEnd w:id="30"/>
    <w:bookmarkStart w:id="34" w:name="X642a7bf52de283137763cda2e742099f1a774d1"/>
    <w:p>
      <w:pPr>
        <w:pStyle w:val="Heading2"/>
      </w:pPr>
      <w:r>
        <w:t xml:space="preserve">6. ACCIONES DE FORMACIÓN ESPECÍFICA</w:t>
      </w:r>
    </w:p>
    <w:bookmarkStart w:id="31" w:name="X61b593ad576343d4222a7d1cc119752d860604e"/>
    <w:p>
      <w:pPr>
        <w:pStyle w:val="Heading3"/>
      </w:pPr>
      <w:r>
        <w:t xml:space="preserve">6.1 Formación técnica especializada</w:t>
      </w:r>
    </w:p>
    <w:p>
      <w:pPr>
        <w:pStyle w:val="FirstParagraph"/>
      </w:pPr>
      <w:r>
        <w:rPr>
          <w:bCs/>
          <w:b/>
        </w:rPr>
        <w:t xml:space="preserve">Paso 11.</w:t>
      </w:r>
      <w:r>
        <w:t xml:space="preserve"> </w:t>
      </w:r>
      <w:r>
        <w:t xml:space="preserve">El personal de los grupos G3 y G4 recibirá formación técnica especializada en:</w:t>
      </w:r>
    </w:p>
    <w:p>
      <w:pPr>
        <w:numPr>
          <w:ilvl w:val="0"/>
          <w:numId w:val="1005"/>
        </w:numPr>
        <w:pStyle w:val="Compact"/>
      </w:pPr>
      <w:r>
        <w:t xml:space="preserve">Hardening de sistemas operativos y bases de datos.</w:t>
      </w:r>
    </w:p>
    <w:p>
      <w:pPr>
        <w:numPr>
          <w:ilvl w:val="0"/>
          <w:numId w:val="1005"/>
        </w:numPr>
        <w:pStyle w:val="Compact"/>
      </w:pPr>
      <w:r>
        <w:t xml:space="preserve">Gestión segura de configuraciones cloud.</w:t>
      </w:r>
    </w:p>
    <w:p>
      <w:pPr>
        <w:numPr>
          <w:ilvl w:val="0"/>
          <w:numId w:val="1005"/>
        </w:numPr>
        <w:pStyle w:val="Compact"/>
      </w:pPr>
      <w:r>
        <w:t xml:space="preserve">Análisis de logs y detección de anomalías.</w:t>
      </w:r>
    </w:p>
    <w:p>
      <w:pPr>
        <w:numPr>
          <w:ilvl w:val="0"/>
          <w:numId w:val="1005"/>
        </w:numPr>
        <w:pStyle w:val="Compact"/>
      </w:pPr>
      <w:r>
        <w:t xml:space="preserve">Respuesta a incidentes y análisis forense básico.</w:t>
      </w:r>
    </w:p>
    <w:p>
      <w:pPr>
        <w:numPr>
          <w:ilvl w:val="0"/>
          <w:numId w:val="1005"/>
        </w:numPr>
        <w:pStyle w:val="Compact"/>
      </w:pPr>
      <w:r>
        <w:t xml:space="preserve">Uso seguro de herramientas de administración remota.</w:t>
      </w:r>
    </w:p>
    <w:p>
      <w:pPr>
        <w:pStyle w:val="FirstParagraph"/>
      </w:pPr>
      <w:r>
        <w:rPr>
          <w:bCs/>
          <w:b/>
        </w:rPr>
        <w:t xml:space="preserve">Paso 12.</w:t>
      </w:r>
      <w:r>
        <w:t xml:space="preserve"> </w:t>
      </w:r>
      <w:r>
        <w:t xml:space="preserve">Esta formación podrá impartirse mediante cursos externos certificados, formación interna o plataformas de e-learning especializadas.</w:t>
      </w:r>
    </w:p>
    <w:bookmarkEnd w:id="31"/>
    <w:bookmarkStart w:id="32" w:name="Xc884766ab5b04fac9021a3afe3e4c3d75dffc39"/>
    <w:p>
      <w:pPr>
        <w:pStyle w:val="Heading3"/>
      </w:pPr>
      <w:r>
        <w:t xml:space="preserve">6.2 Formación específica para roles ENS</w:t>
      </w:r>
    </w:p>
    <w:p>
      <w:pPr>
        <w:pStyle w:val="FirstParagraph"/>
      </w:pPr>
      <w:r>
        <w:rPr>
          <w:bCs/>
          <w:b/>
        </w:rPr>
        <w:t xml:space="preserve">Paso 13.</w:t>
      </w:r>
      <w:r>
        <w:t xml:space="preserve"> </w:t>
      </w:r>
      <w:r>
        <w:t xml:space="preserve">Las personas designadas como roles del artículo 11 del ENS recibirán formación específica que cubra:</w:t>
      </w:r>
    </w:p>
    <w:p>
      <w:pPr>
        <w:numPr>
          <w:ilvl w:val="0"/>
          <w:numId w:val="1006"/>
        </w:numPr>
        <w:pStyle w:val="Compact"/>
      </w:pPr>
      <w:r>
        <w:t xml:space="preserve">Marco normativo del ENS y guías CCN-STIC aplicables.</w:t>
      </w:r>
    </w:p>
    <w:p>
      <w:pPr>
        <w:numPr>
          <w:ilvl w:val="0"/>
          <w:numId w:val="1006"/>
        </w:numPr>
        <w:pStyle w:val="Compact"/>
      </w:pPr>
      <w:r>
        <w:t xml:space="preserve">Metodología MAGERIT v3 para análisis de riesgos.</w:t>
      </w:r>
    </w:p>
    <w:p>
      <w:pPr>
        <w:numPr>
          <w:ilvl w:val="0"/>
          <w:numId w:val="1006"/>
        </w:numPr>
        <w:pStyle w:val="Compact"/>
      </w:pPr>
      <w:r>
        <w:t xml:space="preserve">Herramientas oficiales del CCN (PILAR, INES, AMPARO, LUCIA).</w:t>
      </w:r>
    </w:p>
    <w:p>
      <w:pPr>
        <w:numPr>
          <w:ilvl w:val="0"/>
          <w:numId w:val="1006"/>
        </w:numPr>
        <w:pStyle w:val="Compact"/>
      </w:pPr>
      <w:r>
        <w:t xml:space="preserve">Proceso de adecuación y certificación.</w:t>
      </w:r>
    </w:p>
    <w:p>
      <w:pPr>
        <w:numPr>
          <w:ilvl w:val="0"/>
          <w:numId w:val="1006"/>
        </w:numPr>
        <w:pStyle w:val="Compact"/>
      </w:pPr>
      <w:r>
        <w:t xml:space="preserve">Funciones y responsabilidades específicas del rol.</w:t>
      </w:r>
    </w:p>
    <w:p>
      <w:pPr>
        <w:pStyle w:val="FirstParagraph"/>
      </w:pPr>
      <w:r>
        <w:rPr>
          <w:bCs/>
          <w:b/>
        </w:rPr>
        <w:t xml:space="preserve">Paso 14.</w:t>
      </w:r>
      <w:r>
        <w:t xml:space="preserve"> </w:t>
      </w:r>
      <w:r>
        <w:t xml:space="preserve">Para el Responsable de la Seguridad se valorará la obtención de certificaciones profesionales reconocidas internacionalmente (CISA, CISM, CISSP, ISO 27001 Lead Implementer/Auditor).</w:t>
      </w:r>
    </w:p>
    <w:bookmarkEnd w:id="32"/>
    <w:bookmarkStart w:id="33" w:name="Xadb8e541a59ffcbc03551c08a792d0dce61daac"/>
    <w:p>
      <w:pPr>
        <w:pStyle w:val="Heading3"/>
      </w:pPr>
      <w:r>
        <w:t xml:space="preserve">6.3 Formación específica para directivos</w:t>
      </w:r>
    </w:p>
    <w:p>
      <w:pPr>
        <w:pStyle w:val="FirstParagraph"/>
      </w:pPr>
      <w:r>
        <w:rPr>
          <w:bCs/>
          <w:b/>
        </w:rPr>
        <w:t xml:space="preserve">Paso 15.</w:t>
      </w:r>
      <w:r>
        <w:t xml:space="preserve"> </w:t>
      </w:r>
      <w:r>
        <w:t xml:space="preserve">El personal directivo y los miembros del órgano de gobierno superior recibirán</w:t>
      </w:r>
      <w:r>
        <w:t xml:space="preserve"> </w:t>
      </w:r>
      <w:r>
        <w:rPr>
          <w:bCs/>
          <w:b/>
        </w:rPr>
        <w:t xml:space="preserve">briefings ejecutivos</w:t>
      </w:r>
      <w:r>
        <w:t xml:space="preserve"> </w:t>
      </w:r>
      <w:r>
        <w:t xml:space="preserve">semestrales sobre:</w:t>
      </w:r>
    </w:p>
    <w:p>
      <w:pPr>
        <w:numPr>
          <w:ilvl w:val="0"/>
          <w:numId w:val="1007"/>
        </w:numPr>
        <w:pStyle w:val="Compact"/>
      </w:pPr>
      <w:r>
        <w:t xml:space="preserve">Estado del SGSI y métricas clave.</w:t>
      </w:r>
    </w:p>
    <w:p>
      <w:pPr>
        <w:numPr>
          <w:ilvl w:val="0"/>
          <w:numId w:val="1007"/>
        </w:numPr>
        <w:pStyle w:val="Compact"/>
      </w:pPr>
      <w:r>
        <w:t xml:space="preserve">Riesgos estratégicos detectados.</w:t>
      </w:r>
    </w:p>
    <w:p>
      <w:pPr>
        <w:numPr>
          <w:ilvl w:val="0"/>
          <w:numId w:val="1007"/>
        </w:numPr>
        <w:pStyle w:val="Compact"/>
      </w:pPr>
      <w:r>
        <w:t xml:space="preserve">Cambios normativos relevantes.</w:t>
      </w:r>
    </w:p>
    <w:p>
      <w:pPr>
        <w:numPr>
          <w:ilvl w:val="0"/>
          <w:numId w:val="1007"/>
        </w:numPr>
        <w:pStyle w:val="Compact"/>
      </w:pPr>
      <w:r>
        <w:t xml:space="preserve">Tendencias de amenazas en el sector.</w:t>
      </w:r>
    </w:p>
    <w:p>
      <w:pPr>
        <w:numPr>
          <w:ilvl w:val="0"/>
          <w:numId w:val="1007"/>
        </w:numPr>
        <w:pStyle w:val="Compact"/>
      </w:pPr>
      <w:r>
        <w:t xml:space="preserve">Obligaciones legales del cargo en materia de ciberseguridad y protección de datos.</w:t>
      </w:r>
    </w:p>
    <w:bookmarkEnd w:id="33"/>
    <w:bookmarkEnd w:id="34"/>
    <w:bookmarkStart w:id="35" w:name="X66148840fd44cd5d8042fc6256491aaea5c9620"/>
    <w:p>
      <w:pPr>
        <w:pStyle w:val="Heading2"/>
      </w:pPr>
      <w:r>
        <w:t xml:space="preserve">7. EVALUACIÓN DEL APRENDIZAJE</w:t>
      </w:r>
    </w:p>
    <w:p>
      <w:pPr>
        <w:pStyle w:val="FirstParagraph"/>
      </w:pPr>
      <w:r>
        <w:rPr>
          <w:bCs/>
          <w:b/>
        </w:rPr>
        <w:t xml:space="preserve">Paso 16.</w:t>
      </w:r>
      <w:r>
        <w:t xml:space="preserve"> </w:t>
      </w:r>
      <w:r>
        <w:t xml:space="preserve">Cada acción formativa relevante incluirá un mecanismo de evaluación del aprendizaje, que podrá consistir en:</w:t>
      </w:r>
    </w:p>
    <w:p>
      <w:pPr>
        <w:numPr>
          <w:ilvl w:val="0"/>
          <w:numId w:val="1008"/>
        </w:numPr>
        <w:pStyle w:val="Compact"/>
      </w:pPr>
      <w:r>
        <w:t xml:space="preserve">Test de conocimientos al finalizar la formación.</w:t>
      </w:r>
    </w:p>
    <w:p>
      <w:pPr>
        <w:numPr>
          <w:ilvl w:val="0"/>
          <w:numId w:val="1008"/>
        </w:numPr>
        <w:pStyle w:val="Compact"/>
      </w:pPr>
      <w:r>
        <w:t xml:space="preserve">Casos prácticos o ejercicios.</w:t>
      </w:r>
    </w:p>
    <w:p>
      <w:pPr>
        <w:numPr>
          <w:ilvl w:val="0"/>
          <w:numId w:val="1008"/>
        </w:numPr>
        <w:pStyle w:val="Compact"/>
      </w:pPr>
      <w:r>
        <w:t xml:space="preserve">Simulacros operativos.</w:t>
      </w:r>
    </w:p>
    <w:p>
      <w:pPr>
        <w:numPr>
          <w:ilvl w:val="0"/>
          <w:numId w:val="1008"/>
        </w:numPr>
        <w:pStyle w:val="Compact"/>
      </w:pPr>
      <w:r>
        <w:t xml:space="preserve">Evaluaciones tipo</w:t>
      </w:r>
      <w:r>
        <w:t xml:space="preserve"> </w:t>
      </w:r>
      <w:r>
        <w:rPr>
          <w:iCs/>
          <w:i/>
        </w:rPr>
        <w:t xml:space="preserve">security hygiene assessment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Paso 17.</w:t>
      </w:r>
      <w:r>
        <w:t xml:space="preserve"> </w:t>
      </w:r>
      <w:r>
        <w:t xml:space="preserve">El umbral mínimo para considerar superada una acción formativa será del</w:t>
      </w:r>
      <w:r>
        <w:t xml:space="preserve"> </w:t>
      </w:r>
      <w:r>
        <w:rPr>
          <w:bCs/>
          <w:b/>
        </w:rPr>
        <w:t xml:space="preserve">70% de aciertos</w:t>
      </w:r>
      <w:r>
        <w:t xml:space="preserve"> </w:t>
      </w:r>
      <w:r>
        <w:t xml:space="preserve">en las evaluaciones objetivas.</w:t>
      </w:r>
    </w:p>
    <w:p>
      <w:pPr>
        <w:pStyle w:val="BodyText"/>
      </w:pPr>
      <w:r>
        <w:rPr>
          <w:bCs/>
          <w:b/>
        </w:rPr>
        <w:t xml:space="preserve">Paso 18.</w:t>
      </w:r>
      <w:r>
        <w:t xml:space="preserve"> </w:t>
      </w:r>
      <w:r>
        <w:t xml:space="preserve">Las personas que no superen una evaluación recibirán formación de refuerzo y volverán a ser evaluadas. Tres no superaciones consecutivas serán comunicadas al responsable jerárquico para análisis de la situación.</w:t>
      </w:r>
    </w:p>
    <w:bookmarkEnd w:id="35"/>
    <w:bookmarkStart w:id="36" w:name="X6210a331dbddde8cdecaba5e9c551d2167e705f"/>
    <w:p>
      <w:pPr>
        <w:pStyle w:val="Heading2"/>
      </w:pPr>
      <w:r>
        <w:t xml:space="preserve">8. REGISTROS GENERADOS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Anual de Concienciación y 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SGSI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asistencia a sesiones de acogida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del empleado + 4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asistencia a formaciones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 de evaluaciones del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trimestral de simulacros de 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anual de cumplimiento del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SGSI</w:t>
            </w:r>
          </w:p>
        </w:tc>
      </w:tr>
    </w:tbl>
    <w:bookmarkEnd w:id="36"/>
    <w:bookmarkStart w:id="37" w:name="X6330dd95dc874c3ee63a9c743f33ded4d0a8d03"/>
    <w:p>
      <w:pPr>
        <w:pStyle w:val="Heading2"/>
      </w:pPr>
      <w:r>
        <w:t xml:space="preserve">9.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del Plan Anual (personal formado /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nuevo con sesión de acogida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G3-G4 con horas mínimas anuales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clic en simulacros de 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 (objetivo final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notificación correcta de simulacros de 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con tres no superaciones consecutivas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7"/>
    <w:bookmarkStart w:id="38" w:name="X8e436693384c0b4049ff8ccf1750790648baa4c"/>
    <w:p>
      <w:pPr>
        <w:pStyle w:val="Heading2"/>
      </w:pPr>
      <w:r>
        <w:t xml:space="preserve">10. ANEXOS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Plantilla del Plan Anual de Concienciación y Formación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Material de la sesión de acogida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Catálogo de píldoras formativas vigentes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Registro de asistencia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Plantilla de evaluación del aprendizaje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Anexo VI:</w:t>
      </w:r>
      <w:r>
        <w:t xml:space="preserve"> </w:t>
      </w:r>
      <w:r>
        <w:t xml:space="preserve">Plantilla del informe trimestral de phishing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}}-PF-001 — Versión {{ proyecto.version_actual }} — Clasificación: INTERNA</w:t>
      </w:r>
    </w:p>
    <w:bookmarkEnd w:id="38"/>
    <w:bookmarkEnd w:id="39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E-PF-001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E-PF-001 · PROCEDIMIENTO DE CONCIENCIACIÓN Y FORMACIÓN EN SEGURIDAD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2026-06-12T10:12:21Z</dcterms:created>
  <dcterms:modified xsi:type="dcterms:W3CDTF">2026-06-12T10:12:21Z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}}-PF-001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}}-100, {{ proyecto.codigo_documento_base }}-103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Concienciación y Formación en Seguridad de la Información</vt:lpwstr>
  </property>
  <property fmtid="{D5CDD505-2E9C-101B-9397-08002B2CF9AE}" pid="9" name="version">
    <vt:lpwstr>{{ proyecto.version_actual }}</vt:lpwstr>
  </property>
</Properties>
</file>