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40</w:t>
      </w:r>
      <w:r>
        <w:t xml:space="preserve"> </w:t>
      </w:r>
      <w:r>
        <w:t xml:space="preserve">del RD 311/2022 y a su</w:t>
      </w:r>
      <w:r>
        <w:t xml:space="preserve"> </w:t>
      </w:r>
      <w:r>
        <w:rPr>
          <w:bCs/>
          <w:b/>
        </w:rPr>
        <w:t xml:space="preserve">Anexo I</w:t>
      </w:r>
      <w:r>
        <w:t xml:space="preserve">, la categorización del sistema debe formalizarse mediante acta del órgano competente, sirviendo de base para la determinación de las medidas aplicables del</w:t>
      </w:r>
      <w:r>
        <w:t xml:space="preserve"> </w:t>
      </w:r>
      <w:r>
        <w:rPr>
          <w:bCs/>
          <w:b/>
        </w:rPr>
        <w:t xml:space="preserve">Anexo II</w:t>
      </w:r>
      <w:r>
        <w:t xml:space="preserve"> </w:t>
      </w:r>
      <w:r>
        <w:t xml:space="preserve">y para la elaboración de la</w:t>
      </w:r>
      <w:r>
        <w:t xml:space="preserve"> </w:t>
      </w:r>
      <w:r>
        <w:rPr>
          <w:bCs/>
          <w:b/>
        </w:rPr>
        <w:t xml:space="preserve">Declaración de Aplicabilidad (DA)</w:t>
      </w:r>
      <w:r>
        <w:t xml:space="preserve">, esta última conforme al</w:t>
      </w:r>
      <w:r>
        <w:t xml:space="preserve"> </w:t>
      </w:r>
      <w:r>
        <w:rPr>
          <w:bCs/>
          <w:b/>
        </w:rPr>
        <w:t xml:space="preserve">artículo 28</w:t>
      </w:r>
      <w:r>
        <w:t xml:space="preserve"> </w:t>
      </w:r>
      <w:r>
        <w:t xml:space="preserve">del mismo Real Decreto.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'MEDIO'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Cs/>
          <w:b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Cs/>
          <w:b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Cs/>
          <w:b/>
        </w:rPr>
        <w:t xml:space="preserve">E-040</w:t>
      </w:r>
      <w:r>
        <w:t xml:space="preserve">, que constituye anexo del presente acta y que recoge para cada medida:</w:t>
      </w:r>
    </w:p>
    <w:p>
      <w:pPr>
        <w:numPr>
          <w:ilvl w:val="0"/>
          <w:numId w:val="1001"/>
        </w:numPr>
        <w:pStyle w:val="Compact"/>
      </w:pPr>
      <w:r>
        <w:t xml:space="preserve">Aplicabilidad (sí / no / no aplica con justificación).</w:t>
      </w:r>
    </w:p>
    <w:p>
      <w:pPr>
        <w:numPr>
          <w:ilvl w:val="0"/>
          <w:numId w:val="1001"/>
        </w:numPr>
        <w:pStyle w:val="Compact"/>
      </w:pPr>
      <w:r>
        <w:t xml:space="preserve">Estado de implantación (planificada / parcial / completa).</w:t>
      </w:r>
    </w:p>
    <w:p>
      <w:pPr>
        <w:numPr>
          <w:ilvl w:val="0"/>
          <w:numId w:val="1001"/>
        </w:numPr>
        <w:pStyle w:val="Compact"/>
      </w:pPr>
      <w:r>
        <w:t xml:space="preserve">Responsable funcional.</w:t>
      </w:r>
    </w:p>
    <w:p>
      <w:pPr>
        <w:numPr>
          <w:ilvl w:val="0"/>
          <w:numId w:val="1001"/>
        </w:numPr>
        <w:pStyle w:val="Compact"/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(E-150)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Cs/>
          <w:b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p>
      <w:pPr>
        <w:pStyle w:val="BodyText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40.2 del RD 311/2022</w:t>
      </w:r>
      <w:r>
        <w:t xml:space="preserve">, la categorización del sistema se aprueba mediante la</w:t>
      </w:r>
      <w:r>
        <w:t xml:space="preserve"> </w:t>
      </w:r>
      <w:r>
        <w:rPr>
          <w:bCs/>
          <w:b/>
        </w:rPr>
        <w:t xml:space="preserve">doble firma competente</w:t>
      </w:r>
      <w:r>
        <w:t xml:space="preserve">: el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determina y aprueba los niveles de las dimensiones que afectan a la información, y el</w:t>
      </w:r>
      <w:r>
        <w:t xml:space="preserve"> </w:t>
      </w:r>
      <w:r>
        <w:rPr>
          <w:bCs/>
          <w:b/>
        </w:rPr>
        <w:t xml:space="preserve">Responsable del Servicio</w:t>
      </w:r>
      <w:r>
        <w:t xml:space="preserve"> </w:t>
      </w:r>
      <w:r>
        <w:t xml:space="preserve">los de las dimensiones que afectan a los servicios. El</w:t>
      </w:r>
      <w:r>
        <w:t xml:space="preserve"> </w:t>
      </w:r>
      <w:r>
        <w:rPr>
          <w:bCs/>
          <w:b/>
        </w:rPr>
        <w:t xml:space="preserve">Responsable de la Seguridad</w:t>
      </w:r>
      <w:r>
        <w:t xml:space="preserve"> </w:t>
      </w:r>
      <w:r>
        <w:t xml:space="preserve">suscribe su conformidad sin carácter aprobatorio. El acta solo se considera</w:t>
      </w:r>
      <w:r>
        <w:t xml:space="preserve"> </w:t>
      </w:r>
      <w:r>
        <w:rPr>
          <w:bCs/>
          <w:b/>
        </w:rPr>
        <w:t xml:space="preserve">aprobada cuando constan las firmas del Responsable de la Información y del Responsable del Servicio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 ENS (art.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Carácter de la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responsables.responsable_informacion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Aprueba</w:t>
            </w:r>
            <w:r>
              <w:t xml:space="preserve"> </w:t>
            </w:r>
            <w:r>
              <w:t xml:space="preserve">(dimensiones de la información)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responsables.responsable_servicio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Aprueba</w:t>
            </w:r>
            <w:r>
              <w:t xml:space="preserve"> </w:t>
            </w:r>
            <w:r>
              <w:t xml:space="preserve">(dimensiones de los servicios)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(no aprobador)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E-012 · Documento E-012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2026-06-12T00:04:27Z</dcterms:created>
  <dcterms:modified xsi:type="dcterms:W3CDTF">2026-06-12T00:04:27Z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