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16ee5807ac6fd3eb192144b818a58341e544d7"/>
    <w:p>
      <w:pPr>
        <w:pStyle w:val="Heading1"/>
      </w:pPr>
      <w:r>
        <w:t xml:space="preserve">PLAN DE RECUPERACIÓN DE DESASTRES TIC DE {{ cliente.razon_social|upper }}</w:t>
      </w:r>
    </w:p>
    <w:p>
      <w:pPr>
        <w:pStyle w:val="FirstParagraph"/>
      </w:pPr>
      <w:r>
        <w:t xml:space="preserve">Documento {{ proyecto.codigo_documento_base }}-403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Plan de Recuperación de Desastres TIC (DRP)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DRP define los procedimientos técnicos para la recuperación de los sistemas TIC del sistema {{ proyecto.sistema_principal }} tras una disrupción que comprometa su disponibilidad, en cumplimiento de la medida</w:t>
      </w:r>
      <w:r>
        <w:t xml:space="preserve"> </w:t>
      </w:r>
      <w:r>
        <w:rPr>
          <w:bCs/>
          <w:b/>
        </w:rPr>
        <w:t xml:space="preserve">op.cont.3 Pruebas periódicas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op.cont.2 Plan de continuidad</w:t>
      </w:r>
      <w:r>
        <w:t xml:space="preserve"> </w:t>
      </w:r>
      <w:r>
        <w:t xml:space="preserve">del Anexo II del Real Decreto 311/2022 y conforme a UNE-ISO 22301:2020 (gestión de la continuidad del negocio).</w:t>
      </w:r>
    </w:p>
    <w:p>
      <w:pPr>
        <w:pStyle w:val="BodyText"/>
      </w:pPr>
      <w:r>
        <w:t xml:space="preserve">El DRP es el componente técnico del Plan de Continuidad del Negocio (E-402 BCP) y se activa en coordinación con éste.</w:t>
      </w:r>
    </w:p>
    <w:bookmarkEnd w:id="22"/>
    <w:bookmarkStart w:id="23" w:name="X194218a80ce2546a7dd96af0da207161b66add7"/>
    <w:p>
      <w:pPr>
        <w:pStyle w:val="Heading2"/>
      </w:pPr>
      <w:r>
        <w:t xml:space="preserve">2. ALCANCE TÉCNICO</w:t>
      </w:r>
    </w:p>
    <w:p>
      <w:pPr>
        <w:pStyle w:val="FirstParagraph"/>
      </w:pPr>
      <w:r>
        <w:t xml:space="preserve">El DRP cubre los siguientes activos del sistema:</w:t>
      </w:r>
    </w:p>
    <w:p>
      <w:pPr>
        <w:numPr>
          <w:ilvl w:val="0"/>
          <w:numId w:val="1001"/>
        </w:numPr>
        <w:pStyle w:val="Compact"/>
      </w:pPr>
      <w:r>
        <w:t xml:space="preserve">Servidores físicos y virtuales del alcance ENS.</w:t>
      </w:r>
    </w:p>
    <w:p>
      <w:pPr>
        <w:numPr>
          <w:ilvl w:val="0"/>
          <w:numId w:val="1001"/>
        </w:numPr>
        <w:pStyle w:val="Compact"/>
      </w:pPr>
      <w:r>
        <w:t xml:space="preserve">Bases de datos y almacenamiento crítico.</w:t>
      </w:r>
    </w:p>
    <w:p>
      <w:pPr>
        <w:numPr>
          <w:ilvl w:val="0"/>
          <w:numId w:val="1001"/>
        </w:numPr>
        <w:pStyle w:val="Compact"/>
      </w:pPr>
      <w:r>
        <w:t xml:space="preserve">Servicios cloud bajo el alcance.</w:t>
      </w:r>
    </w:p>
    <w:p>
      <w:pPr>
        <w:numPr>
          <w:ilvl w:val="0"/>
          <w:numId w:val="1001"/>
        </w:numPr>
        <w:pStyle w:val="Compact"/>
      </w:pPr>
      <w:r>
        <w:t xml:space="preserve">Red interna, comunicaciones perimetrales y conectividad de respaldo.</w:t>
      </w:r>
    </w:p>
    <w:p>
      <w:pPr>
        <w:numPr>
          <w:ilvl w:val="0"/>
          <w:numId w:val="1001"/>
        </w:numPr>
        <w:pStyle w:val="Compact"/>
      </w:pPr>
      <w:r>
        <w:t xml:space="preserve">Aplicaciones críticas identificadas en el BIA E-400.</w:t>
      </w:r>
    </w:p>
    <w:p>
      <w:pPr>
        <w:numPr>
          <w:ilvl w:val="0"/>
          <w:numId w:val="1001"/>
        </w:numPr>
        <w:pStyle w:val="Compact"/>
      </w:pPr>
      <w:r>
        <w:t xml:space="preserve">Datos sensibles bajo tratamiento conforme al RGPD y la política E-105.</w:t>
      </w:r>
    </w:p>
    <w:bookmarkEnd w:id="23"/>
    <w:bookmarkStart w:id="24" w:name="X2ba4eb2114d745f758cadc9e74279bc0805fdf2"/>
    <w:p>
      <w:pPr>
        <w:pStyle w:val="Heading2"/>
      </w:pPr>
      <w:r>
        <w:t xml:space="preserve">3. CLASIFICACIÓN DE DESASTRES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recuperación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Indisponibilidad parcial de un componente con redundancia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un servicio o componente sin redundancia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- 24h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Catastrófico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la ubicación primaria o de múltiples sistemas críticos simultáneamente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24h</w:t>
            </w:r>
          </w:p>
        </w:tc>
      </w:tr>
    </w:tbl>
    <w:bookmarkEnd w:id="24"/>
    <w:bookmarkStart w:id="25" w:name="X1d9ad59e9d38f9240702641ec143c7e5492571c"/>
    <w:p>
      <w:pPr>
        <w:pStyle w:val="Heading2"/>
      </w:pPr>
      <w:r>
        <w:t xml:space="preserve">4. RTO/RPO POR SISTEMA CRÍTICO</w:t>
      </w:r>
    </w:p>
    <w:p>
      <w:pPr>
        <w:pStyle w:val="FirstParagraph"/>
      </w:pPr>
      <w:r>
        <w:t xml:space="preserve">Los objetivos técnicos de recuperación derivados del BIA se concretan para cada sistema crítico:</w:t>
      </w:r>
    </w:p>
    <w:p>
      <w:pPr>
        <w:pStyle w:val="BodyText"/>
      </w:pPr>
      <w:r>
        <w:t xml:space="preserve">{% for sis in sistemas_criticos %}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{{ sis.nombre }}</w:t>
      </w:r>
      <w:r>
        <w:t xml:space="preserve"> </w:t>
      </w:r>
      <w:r>
        <w:t xml:space="preserve">— Función: {{ sis.funcion }} · RTO técnico: {{ sis.rto }} · RPO técnico: {{ sis.rpo }} · Mecanismo de recuperación: {{ sis.mecanismo }}</w:t>
      </w:r>
      <w:r>
        <w:t xml:space="preserve"> </w:t>
      </w:r>
      <w:r>
        <w:t xml:space="preserve">{% endfor %}</w:t>
      </w:r>
    </w:p>
    <w:bookmarkEnd w:id="25"/>
    <w:bookmarkStart w:id="29" w:name="X143aeb4d714139aa5ca3e3a4292549d28df9ff3"/>
    <w:p>
      <w:pPr>
        <w:pStyle w:val="Heading2"/>
      </w:pPr>
      <w:r>
        <w:t xml:space="preserve">5. ARQUITECTURA DE RECUPERACIÓN</w:t>
      </w:r>
    </w:p>
    <w:bookmarkStart w:id="26" w:name="X8582040884511c6d5218caf41e4c4aad410e491"/>
    <w:p>
      <w:pPr>
        <w:pStyle w:val="Heading3"/>
      </w:pPr>
      <w:r>
        <w:t xml:space="preserve">5.1 Sitios de operación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Sitio primario</w:t>
      </w:r>
      <w:r>
        <w:t xml:space="preserve">: {{ ubicaciones.primario.nombre }}. Ubicación: {{ ubicaciones.primario.direccion }}. Operación habitual.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Sitio secundario</w:t>
      </w:r>
      <w:r>
        <w:t xml:space="preserve">: {{ ubicaciones.secundario.nombre }}. Ubicación: {{ ubicaciones.secundario.direccion }}. Modalidad: {{ ubicaciones.secundario.modalidad }} (cold/warm/hot). Tiempo de activación: {{ ubicaciones.secundario.tiempo_activacion }}.</w:t>
      </w:r>
    </w:p>
    <w:bookmarkEnd w:id="26"/>
    <w:bookmarkStart w:id="27" w:name="X0cf527daa3df42bc5515bdf454ac28c344c65a5"/>
    <w:p>
      <w:pPr>
        <w:pStyle w:val="Heading3"/>
      </w:pPr>
      <w:r>
        <w:t xml:space="preserve">5.2 Replicación de datos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Mecanismo</w:t>
      </w:r>
      <w:r>
        <w:t xml:space="preserve">: replicación asíncrona con frecuencia configurada para cumplir el RPO objetivo por sistema crítico.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</w:t>
      </w:r>
      <w:r>
        <w:t xml:space="preserve">: verificación automatizada diaria de integridad de réplicas y consistencia.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Monitorización</w:t>
      </w:r>
      <w:r>
        <w:t xml:space="preserve">: alertas configuradas ante fallo de replicación superior a una hora.</w:t>
      </w:r>
    </w:p>
    <w:bookmarkEnd w:id="27"/>
    <w:bookmarkStart w:id="28" w:name="X755cabca1fb5501dac7113afaaca2fd2b2944bb"/>
    <w:p>
      <w:pPr>
        <w:pStyle w:val="Heading3"/>
      </w:pPr>
      <w:r>
        <w:t xml:space="preserve">5.3 Estrategia de copias de seguridad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Política aplicable</w:t>
      </w:r>
      <w:r>
        <w:t xml:space="preserve">: E-106 Política de Copias de Seguridad.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Tipos</w:t>
      </w:r>
      <w:r>
        <w:t xml:space="preserve">: completas semanales + incrementales diarias + transaccionales según sistema.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Retención</w:t>
      </w:r>
      <w:r>
        <w:t xml:space="preserve">: conforme a la política E-106 (mínimo: 30 días granulares + 12 meses mensuales para sistemas críticos).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Ubicación</w:t>
      </w:r>
      <w:r>
        <w:t xml:space="preserve">: copia primaria en sitio principal + copia secundaria en sitio alterno o servicio gestionado externo.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Cifrado</w:t>
      </w:r>
      <w:r>
        <w:t xml:space="preserve">: en reposo y en tránsito conforme a la política E-107.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Pruebas de restauración</w:t>
      </w:r>
      <w:r>
        <w:t xml:space="preserve">: trimestrales conforme al E-405 Plan de Pruebas.</w:t>
      </w:r>
    </w:p>
    <w:bookmarkEnd w:id="28"/>
    <w:bookmarkEnd w:id="29"/>
    <w:bookmarkStart w:id="30" w:name="X34a10d70d4dc69e21cc35cfa30a464f82fa97c2"/>
    <w:p>
      <w:pPr>
        <w:pStyle w:val="Heading2"/>
      </w:pPr>
      <w:r>
        <w:t xml:space="preserve">6. RUNBOOKS DE RECUPERACIÓN POR SISTEMA</w:t>
      </w:r>
    </w:p>
    <w:p>
      <w:pPr>
        <w:pStyle w:val="FirstParagraph"/>
      </w:pPr>
      <w:r>
        <w:t xml:space="preserve">Cada sistema crítico cuenta con un runbook técnico documentado, accesible al personal autorizado y validado mediante ejercicios periódicos. Los runbooks incluyen:</w:t>
      </w:r>
    </w:p>
    <w:p>
      <w:pPr>
        <w:numPr>
          <w:ilvl w:val="0"/>
          <w:numId w:val="1006"/>
        </w:numPr>
        <w:pStyle w:val="Compact"/>
      </w:pPr>
      <w:r>
        <w:t xml:space="preserve">Diagrama de dependencias del sistema.</w:t>
      </w:r>
    </w:p>
    <w:p>
      <w:pPr>
        <w:numPr>
          <w:ilvl w:val="0"/>
          <w:numId w:val="1006"/>
        </w:numPr>
        <w:pStyle w:val="Compact"/>
      </w:pPr>
      <w:r>
        <w:t xml:space="preserve">Pre-requisitos y comprobaciones previas.</w:t>
      </w:r>
    </w:p>
    <w:p>
      <w:pPr>
        <w:numPr>
          <w:ilvl w:val="0"/>
          <w:numId w:val="1006"/>
        </w:numPr>
        <w:pStyle w:val="Compact"/>
      </w:pPr>
      <w:r>
        <w:t xml:space="preserve">Pasos detallados de recuperación con responsable asignado.</w:t>
      </w:r>
    </w:p>
    <w:p>
      <w:pPr>
        <w:numPr>
          <w:ilvl w:val="0"/>
          <w:numId w:val="1006"/>
        </w:numPr>
        <w:pStyle w:val="Compact"/>
      </w:pPr>
      <w:r>
        <w:t xml:space="preserve">Puntos de validación y rollback.</w:t>
      </w:r>
    </w:p>
    <w:p>
      <w:pPr>
        <w:numPr>
          <w:ilvl w:val="0"/>
          <w:numId w:val="1006"/>
        </w:numPr>
        <w:pStyle w:val="Compact"/>
      </w:pPr>
      <w:r>
        <w:t xml:space="preserve">Criterios de finalización exitosa.</w:t>
      </w:r>
    </w:p>
    <w:p>
      <w:pPr>
        <w:pStyle w:val="FirstParagraph"/>
      </w:pPr>
      <w:r>
        <w:t xml:space="preserve">Los runbooks operativos se mantienen en el repositorio documental técnico del sistema bajo control de versiones.</w:t>
      </w:r>
    </w:p>
    <w:bookmarkEnd w:id="30"/>
    <w:bookmarkStart w:id="34" w:name="X2b7ac7054e136aa0877270645b158e960d879da"/>
    <w:p>
      <w:pPr>
        <w:pStyle w:val="Heading2"/>
      </w:pPr>
      <w:r>
        <w:t xml:space="preserve">7. PROCEDIMIENTO DE FAILOVER, VALIDACIÓN Y FAILBACK</w:t>
      </w:r>
    </w:p>
    <w:bookmarkStart w:id="31" w:name="X99ca954527e60a0d6c5df3bc8554f422d7b94ab"/>
    <w:p>
      <w:pPr>
        <w:pStyle w:val="Heading3"/>
      </w:pPr>
      <w:r>
        <w:t xml:space="preserve">7.1 Failover</w:t>
      </w:r>
    </w:p>
    <w:p>
      <w:pPr>
        <w:numPr>
          <w:ilvl w:val="0"/>
          <w:numId w:val="1007"/>
        </w:numPr>
        <w:pStyle w:val="Compact"/>
      </w:pPr>
      <w:r>
        <w:t xml:space="preserve">Confirmación formal de activación del DRP por parte del Coordinador BCP.</w:t>
      </w:r>
    </w:p>
    <w:p>
      <w:pPr>
        <w:numPr>
          <w:ilvl w:val="0"/>
          <w:numId w:val="1007"/>
        </w:numPr>
        <w:pStyle w:val="Compact"/>
      </w:pPr>
      <w:r>
        <w:t xml:space="preserve">Activación del sitio secundario conforme al runbook correspondiente.</w:t>
      </w:r>
    </w:p>
    <w:p>
      <w:pPr>
        <w:numPr>
          <w:ilvl w:val="0"/>
          <w:numId w:val="1007"/>
        </w:numPr>
        <w:pStyle w:val="Compact"/>
      </w:pPr>
      <w:r>
        <w:t xml:space="preserve">Reorientación del tráfico mediante DNS, balanceadores o redirección manual según diseño.</w:t>
      </w:r>
    </w:p>
    <w:p>
      <w:pPr>
        <w:numPr>
          <w:ilvl w:val="0"/>
          <w:numId w:val="1007"/>
        </w:numPr>
        <w:pStyle w:val="Compact"/>
      </w:pPr>
      <w:r>
        <w:t xml:space="preserve">Validación funcional del sistema en sitio secundario.</w:t>
      </w:r>
    </w:p>
    <w:p>
      <w:pPr>
        <w:numPr>
          <w:ilvl w:val="0"/>
          <w:numId w:val="1007"/>
        </w:numPr>
        <w:pStyle w:val="Compact"/>
      </w:pPr>
      <w:r>
        <w:t xml:space="preserve">Comunicación a stakeholders conforme al E-404.</w:t>
      </w:r>
    </w:p>
    <w:bookmarkEnd w:id="31"/>
    <w:bookmarkStart w:id="32" w:name="Xb0e0d375e6124bcadee18c9fa5d3198b86321bc"/>
    <w:p>
      <w:pPr>
        <w:pStyle w:val="Heading3"/>
      </w:pPr>
      <w:r>
        <w:t xml:space="preserve">7.2 Validación operativa</w:t>
      </w:r>
    </w:p>
    <w:p>
      <w:pPr>
        <w:numPr>
          <w:ilvl w:val="0"/>
          <w:numId w:val="1008"/>
        </w:numPr>
        <w:pStyle w:val="Compact"/>
      </w:pPr>
      <w:r>
        <w:t xml:space="preserve">Comprobación de integridad de datos restaurados frente al RPO esperado.</w:t>
      </w:r>
    </w:p>
    <w:p>
      <w:pPr>
        <w:numPr>
          <w:ilvl w:val="0"/>
          <w:numId w:val="1008"/>
        </w:numPr>
        <w:pStyle w:val="Compact"/>
      </w:pPr>
      <w:r>
        <w:t xml:space="preserve">Validación de funcionalidades críticas mediante checklist predefinido.</w:t>
      </w:r>
    </w:p>
    <w:p>
      <w:pPr>
        <w:numPr>
          <w:ilvl w:val="0"/>
          <w:numId w:val="1008"/>
        </w:numPr>
        <w:pStyle w:val="Compact"/>
      </w:pPr>
      <w:r>
        <w:t xml:space="preserve">Confirmación de rendimiento mínimo aceptable.</w:t>
      </w:r>
    </w:p>
    <w:p>
      <w:pPr>
        <w:numPr>
          <w:ilvl w:val="0"/>
          <w:numId w:val="1008"/>
        </w:numPr>
        <w:pStyle w:val="Compact"/>
      </w:pPr>
      <w:r>
        <w:t xml:space="preserve">Validación de seguridad (controles de acceso, cifrado, logging).</w:t>
      </w:r>
    </w:p>
    <w:bookmarkEnd w:id="32"/>
    <w:bookmarkStart w:id="33" w:name="X2020e466694511ad213abd4f35860d3affbee1e"/>
    <w:p>
      <w:pPr>
        <w:pStyle w:val="Heading3"/>
      </w:pPr>
      <w:r>
        <w:t xml:space="preserve">7.3 Failback</w:t>
      </w:r>
    </w:p>
    <w:p>
      <w:pPr>
        <w:pStyle w:val="FirstParagraph"/>
      </w:pPr>
      <w:r>
        <w:t xml:space="preserve">Cuando se restablece la operación normal del sitio primario:</w:t>
      </w:r>
    </w:p>
    <w:p>
      <w:pPr>
        <w:numPr>
          <w:ilvl w:val="0"/>
          <w:numId w:val="1009"/>
        </w:numPr>
        <w:pStyle w:val="Compact"/>
      </w:pPr>
      <w:r>
        <w:t xml:space="preserve">Sincronización inversa de datos desde el sitio secundario.</w:t>
      </w:r>
    </w:p>
    <w:p>
      <w:pPr>
        <w:numPr>
          <w:ilvl w:val="0"/>
          <w:numId w:val="1009"/>
        </w:numPr>
        <w:pStyle w:val="Compact"/>
      </w:pPr>
      <w:r>
        <w:t xml:space="preserve">Ventana de mantenimiento planificada y comunicada a stakeholders.</w:t>
      </w:r>
    </w:p>
    <w:p>
      <w:pPr>
        <w:numPr>
          <w:ilvl w:val="0"/>
          <w:numId w:val="1009"/>
        </w:numPr>
        <w:pStyle w:val="Compact"/>
      </w:pPr>
      <w:r>
        <w:t xml:space="preserve">Retorno del tráfico al sitio primario.</w:t>
      </w:r>
    </w:p>
    <w:p>
      <w:pPr>
        <w:numPr>
          <w:ilvl w:val="0"/>
          <w:numId w:val="1009"/>
        </w:numPr>
        <w:pStyle w:val="Compact"/>
      </w:pPr>
      <w:r>
        <w:t xml:space="preserve">Verificación funcional y operativa.</w:t>
      </w:r>
    </w:p>
    <w:p>
      <w:pPr>
        <w:numPr>
          <w:ilvl w:val="0"/>
          <w:numId w:val="1009"/>
        </w:numPr>
        <w:pStyle w:val="Compact"/>
      </w:pPr>
      <w:r>
        <w:t xml:space="preserve">Cierre formal del incidente.</w:t>
      </w:r>
    </w:p>
    <w:bookmarkEnd w:id="33"/>
    <w:bookmarkEnd w:id="34"/>
    <w:bookmarkStart w:id="35" w:name="Xdda31fed6930180cf8aa0e47d969ffa406944cf"/>
    <w:p>
      <w:pPr>
        <w:pStyle w:val="Heading2"/>
      </w:pPr>
      <w:r>
        <w:t xml:space="preserve">8. PRUEBAS DEL DRP</w:t>
      </w:r>
    </w:p>
    <w:p>
      <w:pPr>
        <w:pStyle w:val="FirstParagraph"/>
      </w:pPr>
      <w:r>
        <w:t xml:space="preserve">La eficacia del DRP se valida mediante el calendario de pruebas detallado en el</w:t>
      </w:r>
      <w:r>
        <w:t xml:space="preserve"> </w:t>
      </w:r>
      <w:r>
        <w:rPr>
          <w:bCs/>
          <w:b/>
        </w:rPr>
        <w:t xml:space="preserve">E-405 Plan de Pruebas de Continuidad</w:t>
      </w:r>
      <w:r>
        <w:t xml:space="preserve">. Como mínimo: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Anuales</w:t>
      </w:r>
      <w:r>
        <w:t xml:space="preserve">: ejercicio completo de failover sobre sitio secundario en ventana planificada.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Trimestrales</w:t>
      </w:r>
      <w:r>
        <w:t xml:space="preserve">: pruebas de restauración desde copias de seguridad sobre entorno aislado.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Mensuales</w:t>
      </w:r>
      <w:r>
        <w:t xml:space="preserve">: validación automatizada de integridad de réplicas y backups.</w:t>
      </w:r>
    </w:p>
    <w:p>
      <w:pPr>
        <w:pStyle w:val="FirstParagraph"/>
      </w:pPr>
      <w:r>
        <w:t xml:space="preserve">Los resultados se documentan en el</w:t>
      </w:r>
      <w:r>
        <w:t xml:space="preserve"> </w:t>
      </w:r>
      <w:r>
        <w:rPr>
          <w:bCs/>
          <w:b/>
        </w:rPr>
        <w:t xml:space="preserve">E-406 Informe de Pruebas de Continuidad</w:t>
      </w:r>
      <w:r>
        <w:t xml:space="preserve">.</w:t>
      </w:r>
    </w:p>
    <w:bookmarkEnd w:id="35"/>
    <w:bookmarkStart w:id="36" w:name="Xb41fae214d07bd607c61bdfa28b00943deb90c4"/>
    <w:p>
      <w:pPr>
        <w:pStyle w:val="Heading2"/>
      </w:pPr>
      <w:r>
        <w:t xml:space="preserve">9. INVENTARIO DE HARDWARE/SOFTWARE CRÍTICO</w:t>
      </w:r>
    </w:p>
    <w:p>
      <w:pPr>
        <w:pStyle w:val="FirstParagraph"/>
      </w:pPr>
      <w:r>
        <w:t xml:space="preserve">El inventario actualizado de activos críticos se mantiene en el CMDB de la Entidad y se sincroniza con el alcance ENS conforme al procedimiento E-203 Gestión de Cambios. Incluye:</w:t>
      </w:r>
    </w:p>
    <w:p>
      <w:pPr>
        <w:numPr>
          <w:ilvl w:val="0"/>
          <w:numId w:val="1011"/>
        </w:numPr>
        <w:pStyle w:val="Compact"/>
      </w:pPr>
      <w:r>
        <w:t xml:space="preserve">Servidores físicos y virtuales con sus dependencias.</w:t>
      </w:r>
    </w:p>
    <w:p>
      <w:pPr>
        <w:numPr>
          <w:ilvl w:val="0"/>
          <w:numId w:val="1011"/>
        </w:numPr>
        <w:pStyle w:val="Compact"/>
      </w:pPr>
      <w:r>
        <w:t xml:space="preserve">Software con versión, licencia, fecha de fin de soporte.</w:t>
      </w:r>
    </w:p>
    <w:p>
      <w:pPr>
        <w:numPr>
          <w:ilvl w:val="0"/>
          <w:numId w:val="1011"/>
        </w:numPr>
        <w:pStyle w:val="Compact"/>
      </w:pPr>
      <w:r>
        <w:t xml:space="preserve">Equipos de red críticos.</w:t>
      </w:r>
    </w:p>
    <w:p>
      <w:pPr>
        <w:numPr>
          <w:ilvl w:val="0"/>
          <w:numId w:val="1011"/>
        </w:numPr>
        <w:pStyle w:val="Compact"/>
      </w:pPr>
      <w:r>
        <w:t xml:space="preserve">Sistemas de almacenamiento y backup.</w:t>
      </w:r>
    </w:p>
    <w:p>
      <w:pPr>
        <w:numPr>
          <w:ilvl w:val="0"/>
          <w:numId w:val="1011"/>
        </w:numPr>
        <w:pStyle w:val="Compact"/>
      </w:pPr>
      <w:r>
        <w:t xml:space="preserve">Sistemas de seguridad (firewalls, SIEM, EDR).</w:t>
      </w:r>
    </w:p>
    <w:bookmarkEnd w:id="36"/>
    <w:bookmarkStart w:id="37" w:name="X8e436693384c0b4049ff8ccf1750790648baa4c"/>
    <w:p>
      <w:pPr>
        <w:pStyle w:val="Heading2"/>
      </w:pPr>
      <w:r>
        <w:t xml:space="preserve">10. ANEXOS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Anexo A</w:t>
      </w:r>
      <w:r>
        <w:t xml:space="preserve">: Contactos técnicos 24/7 (interno + proveedores).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Anexo B</w:t>
      </w:r>
      <w:r>
        <w:t xml:space="preserve">: Lista de proveedores TIC críticos con cláusulas DRP en contrato.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Anexo C</w:t>
      </w:r>
      <w:r>
        <w:t xml:space="preserve">: Licencias, claves y certificados críticos en repositorio seguro (vault corporativo).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Anexo D</w:t>
      </w:r>
      <w:r>
        <w:t xml:space="preserve">: Diagramas de arquitectura de recuperación.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Anexo E</w:t>
      </w:r>
      <w:r>
        <w:t xml:space="preserve">: Histórico de pruebas y lecciones aprendidas.</w:t>
      </w:r>
    </w:p>
    <w:bookmarkEnd w:id="37"/>
    <w:bookmarkStart w:id="38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8"/>
    <w:bookmarkEnd w:id="3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E-403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E-403 · PLAN DE RECUPERACIÓN DE DESASTRES TIC (DRP)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2026-06-12T12:37:33Z</dcterms:created>
  <dcterms:modified xsi:type="dcterms:W3CDTF">2026-06-12T12:37:33Z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