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dd2a48e75400f14b813165203ed12dc65465961"/>
    <w:p>
      <w:pPr>
        <w:pStyle w:val="Heading1"/>
      </w:pPr>
      <w:r>
        <w:t xml:space="preserve">POLÍTICA DE SEGURIDAD DE LA INFORMACIÓN DE {{ cliente.razon_social | upper }}</w:t>
      </w:r>
    </w:p>
    <w:p>
      <w:pPr>
        <w:pStyle w:val="FirstParagraph"/>
      </w:pPr>
      <w:r>
        <w:rPr>
          <w:bCs/>
          <w:b/>
        </w:rPr>
        <w:t xml:space="preserve">Documento {{ proyecto.codigo_documento_base }}-100 — Versión {{ proyecto.version_actual }}</w:t>
      </w:r>
    </w:p>
    <w:p>
      <w:r>
        <w:pict>
          <v:rect style="width:0;height:1.5pt" o:hralign="center" o:hrstd="t" o:hr="t"/>
        </w:pict>
      </w:r>
    </w:p>
    <w:bookmarkStart w:id="20" w:name="control-de-cambios"/>
    <w:p>
      <w:pPr>
        <w:pStyle w:val="Heading2"/>
      </w:pPr>
      <w:r>
        <w:t xml:space="preserve">CONTROL DE CAMBIOS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Autor</w:t>
            </w:r>
          </w:p>
        </w:tc>
        <w:tc>
          <w:tcPr/>
          <w:p>
            <w:pPr>
              <w:pStyle w:val="Compact"/>
              <w:jc w:val="left"/>
            </w:pPr>
            <w:r>
              <w:t xml:space="preserve">Descripción del cambio</w:t>
            </w:r>
          </w:p>
        </w:tc>
        <w:tc>
          <w:tcPr/>
          <w:p>
            <w:pPr>
              <w:pStyle w:val="Compact"/>
              <w:jc w:val="left"/>
            </w:pPr>
            <w:r>
              <w:t xml:space="preserve">Aprobado por</w:t>
            </w:r>
          </w:p>
        </w:tc>
      </w:tr>
      <w:tr>
        <w:tc>
          <w:tcPr/>
          <w:p>
            <w:pPr>
              <w:pStyle w:val="Compact"/>
              <w:jc w:val="left"/>
            </w:pPr>
            <w:r>
              <w:t xml:space="preserve">{{ proyecto.version_actual }}</w:t>
            </w:r>
          </w:p>
        </w:tc>
        <w:tc>
          <w:tcPr/>
          <w:p>
            <w:pPr>
              <w:pStyle w:val="Compact"/>
              <w:jc w:val="left"/>
            </w:pPr>
            <w:r>
              <w:t xml:space="preserve">{{ proyecto.fecha_aprobacion_inicial }}</w:t>
            </w:r>
          </w:p>
        </w:tc>
        <w:tc>
          <w:tcPr/>
          <w:p>
            <w:pPr>
              <w:pStyle w:val="Compact"/>
              <w:jc w:val="left"/>
            </w:pPr>
            <w:r>
              <w:t xml:space="preserve">{{ responsables.responsable_seguridad.nombre }}</w:t>
            </w:r>
          </w:p>
        </w:tc>
        <w:tc>
          <w:tcPr/>
          <w:p>
            <w:pPr>
              <w:pStyle w:val="Compact"/>
              <w:jc w:val="left"/>
            </w:pPr>
            <w:r>
              <w:t xml:space="preserve">Versión inicial. Aprobación primera del SGSI conforme al RD 311/2022.</w:t>
            </w:r>
          </w:p>
        </w:tc>
        <w:tc>
          <w:tcPr/>
          <w:p>
            <w:pPr>
              <w:pStyle w:val="Compact"/>
              <w:jc w:val="left"/>
            </w:pPr>
            <w:r>
              <w:t xml:space="preserve">{{ cliente.organo_aprobador_politicas }}</w:t>
            </w:r>
          </w:p>
        </w:tc>
      </w:tr>
    </w:tbl>
    <w:bookmarkEnd w:id="20"/>
    <w:bookmarkStart w:id="21" w:name="registro-de-aprobación"/>
    <w:p>
      <w:pPr>
        <w:pStyle w:val="Heading2"/>
      </w:pPr>
      <w:r>
        <w:t xml:space="preserve">REGISTRO DE APROBACIÓN</w:t>
      </w:r>
    </w:p>
    <w:p>
      <w:pPr>
        <w:pStyle w:val="FirstParagraph"/>
      </w:pPr>
      <w:r>
        <w:t xml:space="preserve">La presente Política de Seguridad de la Información ha sido elaborada por {{ responsables.responsable_seguridad.nombre }}, en su condición de {{ responsables.responsable_seguridad.cargo }} de {{ cliente.razon_social }}, revisada por el Comité de Seguridad de la Información de la entidad y aprobada formalmente por {{ cliente.organo_aprobador_politicas }} en la sesión celebrada el {{ proyecto.fecha_aprobacion_inicial }}.</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w:t>
            </w:r>
          </w:p>
        </w:tc>
        <w:tc>
          <w:tcPr/>
          <w:p>
            <w:pPr>
              <w:pStyle w:val="Compact"/>
              <w:jc w:val="left"/>
            </w:pPr>
            <w:r>
              <w:t xml:space="preserve">Nombre</w:t>
            </w:r>
          </w:p>
        </w:tc>
        <w:tc>
          <w:tcPr/>
          <w:p>
            <w:pPr>
              <w:pStyle w:val="Compact"/>
              <w:jc w:val="left"/>
            </w:pPr>
            <w:r>
              <w:t xml:space="preserve">Cargo</w:t>
            </w:r>
          </w:p>
        </w:tc>
        <w:tc>
          <w:tcPr/>
          <w:p>
            <w:pPr>
              <w:pStyle w:val="Compact"/>
              <w:jc w:val="left"/>
            </w:pPr>
            <w:r>
              <w:t xml:space="preserve">Firma</w:t>
            </w:r>
          </w:p>
        </w:tc>
        <w:tc>
          <w:tcPr/>
          <w:p>
            <w:pPr>
              <w:pStyle w:val="Compact"/>
              <w:jc w:val="left"/>
            </w:pPr>
            <w:r>
              <w:t xml:space="preserve">Fecha</w:t>
            </w:r>
          </w:p>
        </w:tc>
      </w:tr>
      <w:tr>
        <w:tc>
          <w:tcPr/>
          <w:p>
            <w:pPr>
              <w:pStyle w:val="Compact"/>
              <w:jc w:val="left"/>
            </w:pPr>
            <w:r>
              <w:t xml:space="preserve">Elaboración</w:t>
            </w:r>
          </w:p>
        </w:tc>
        <w:tc>
          <w:tcPr/>
          <w:p>
            <w:pPr>
              <w:pStyle w:val="Compact"/>
              <w:jc w:val="left"/>
            </w:pPr>
            <w:r>
              <w:t xml:space="preserve">{{ responsables.responsable_seguridad.nombre }}</w:t>
            </w:r>
          </w:p>
        </w:tc>
        <w:tc>
          <w:tcPr/>
          <w:p>
            <w:pPr>
              <w:pStyle w:val="Compact"/>
              <w:jc w:val="left"/>
            </w:pPr>
            <w:r>
              <w:t xml:space="preserve">{{ responsables.responsable_seguridad.cargo }}</w:t>
            </w:r>
          </w:p>
        </w:tc>
        <w:tc>
          <w:tcPr/>
          <w:p>
            <w:pPr>
              <w:pStyle w:val="Compact"/>
              <w:jc w:val="left"/>
            </w:pPr>
            <w:r>
              <w:t xml:space="preserve">_____________</w:t>
            </w:r>
          </w:p>
        </w:tc>
        <w:tc>
          <w:tcPr/>
          <w:p>
            <w:pPr>
              <w:pStyle w:val="Compact"/>
              <w:jc w:val="left"/>
            </w:pPr>
            <w:r>
              <w:t xml:space="preserve">{{ proyecto.fecha_aprobacion_inicial }}</w:t>
            </w:r>
          </w:p>
        </w:tc>
      </w:tr>
      <w:tr>
        <w:tc>
          <w:tcPr/>
          <w:p>
            <w:pPr>
              <w:pStyle w:val="Compact"/>
              <w:jc w:val="left"/>
            </w:pPr>
            <w:r>
              <w:t xml:space="preserve">Revisión</w:t>
            </w:r>
          </w:p>
        </w:tc>
        <w:tc>
          <w:tcPr/>
          <w:p>
            <w:pPr>
              <w:pStyle w:val="Compact"/>
              <w:jc w:val="left"/>
            </w:pPr>
            <w:r>
              <w:t xml:space="preserve">{{ responsables.comite_seguridad.presidente }}</w:t>
            </w:r>
          </w:p>
        </w:tc>
        <w:tc>
          <w:tcPr/>
          <w:p>
            <w:pPr>
              <w:pStyle w:val="Compact"/>
              <w:jc w:val="left"/>
            </w:pPr>
            <w:r>
              <w:t xml:space="preserve">Presidente Comité de Seguridad</w:t>
            </w:r>
          </w:p>
        </w:tc>
        <w:tc>
          <w:tcPr/>
          <w:p>
            <w:pPr>
              <w:pStyle w:val="Compact"/>
              <w:jc w:val="left"/>
            </w:pPr>
            <w:r>
              <w:t xml:space="preserve">_____________</w:t>
            </w:r>
          </w:p>
        </w:tc>
        <w:tc>
          <w:tcPr/>
          <w:p>
            <w:pPr>
              <w:pStyle w:val="Compact"/>
              <w:jc w:val="left"/>
            </w:pPr>
            <w:r>
              <w:t xml:space="preserve">{{ proyecto.fecha_aprobacion_inicial }}</w:t>
            </w:r>
          </w:p>
        </w:tc>
      </w:tr>
      <w:tr>
        <w:tc>
          <w:tcPr/>
          <w:p>
            <w:pPr>
              <w:pStyle w:val="Compact"/>
              <w:jc w:val="left"/>
            </w:pPr>
            <w:r>
              <w:t xml:space="preserve">Aprobación</w:t>
            </w:r>
          </w:p>
        </w:tc>
        <w:tc>
          <w:tcPr/>
          <w:p>
            <w:pPr>
              <w:pStyle w:val="Compact"/>
              <w:jc w:val="left"/>
            </w:pPr>
            <w:r>
              <w:rPr>
                <w:iCs/>
                <w:i/>
              </w:rPr>
              <w:t xml:space="preserve">En representación del</w:t>
            </w:r>
            <w:r>
              <w:t xml:space="preserve"> </w:t>
            </w:r>
            <w:r>
              <w:t xml:space="preserve">{{ cliente.organo_aprobador_politicas }}</w:t>
            </w:r>
          </w:p>
        </w:tc>
        <w:tc>
          <w:tcPr/>
          <w:p>
            <w:pPr>
              <w:pStyle w:val="Compact"/>
              <w:jc w:val="left"/>
            </w:pPr>
            <w:r>
              <w:t xml:space="preserve">_____________</w:t>
            </w:r>
          </w:p>
        </w:tc>
        <w:tc>
          <w:tcPr/>
          <w:p>
            <w:pPr>
              <w:pStyle w:val="Compact"/>
              <w:jc w:val="left"/>
            </w:pPr>
            <w:r>
              <w:t xml:space="preserve">_____________</w:t>
            </w:r>
          </w:p>
        </w:tc>
        <w:tc>
          <w:tcPr/>
          <w:p>
            <w:pPr>
              <w:pStyle w:val="Compact"/>
              <w:jc w:val="left"/>
            </w:pPr>
            <w:r>
              <w:t xml:space="preserve">{{ proyecto.fecha_aprobacion_inicial }}</w:t>
            </w:r>
          </w:p>
        </w:tc>
      </w:tr>
    </w:tbl>
    <w:p>
      <w:r>
        <w:pict>
          <v:rect style="width:0;height:1.5pt" o:hralign="center" o:hrstd="t" o:hr="t"/>
        </w:pict>
      </w:r>
    </w:p>
    <w:bookmarkEnd w:id="21"/>
    <w:bookmarkStart w:id="22" w:name="X9cf0c40def9613668807233f982a1785482f001"/>
    <w:p>
      <w:pPr>
        <w:pStyle w:val="Heading2"/>
      </w:pPr>
      <w:r>
        <w:t xml:space="preserve">1. INTRODUCCIÓN Y DECLARACIÓN INSTITUCIONAL</w:t>
      </w:r>
    </w:p>
    <w:p>
      <w:pPr>
        <w:pStyle w:val="FirstParagraph"/>
      </w:pPr>
      <w:r>
        <w:t xml:space="preserve">{{ cliente.razon_social }}, con NIF {{ cliente.nif }} y domicilio social en {{ cliente.domicilio_social }} (en adelante,</w:t>
      </w:r>
      <w:r>
        <w:t xml:space="preserve"> </w:t>
      </w:r>
      <w:r>
        <w:rPr>
          <w:bCs/>
          <w:b/>
        </w:rPr>
        <w:t xml:space="preserve">"la Entidad"</w:t>
      </w:r>
      <w:r>
        <w:t xml:space="preserve">), consciente de su dependencia de los sistemas y servicios de información para el desarrollo de sus actividades, y comprometida con la protección efectiva de los datos personales, la información corporativa y los servicios prestados a sus partes interesadas, mediante la presente Política manifiesta su compromiso firme e inequívoco con la seguridad de la información.</w:t>
      </w:r>
    </w:p>
    <w:p>
      <w:pPr>
        <w:pStyle w:val="BodyText"/>
      </w:pPr>
      <w:r>
        <w:t xml:space="preserve">La seguridad de la información, entendida como la preservación de la confidencialidad, la integridad, la disponibilidad, la autenticidad y la trazabilidad de la información tratada y de los servicios prestados por sus sistemas, constituye un objetivo estratégico de la Entidad y forma parte integral de su modelo de gobernanza.</w:t>
      </w:r>
    </w:p>
    <w:p>
      <w:pPr>
        <w:pStyle w:val="BodyText"/>
      </w:pPr>
      <w:r>
        <w:t xml:space="preserve">A tal efecto, la Entidad adopta esta Política como norma fundamental de su Sistema de Gestión de la Seguridad de la Información (en adelante,</w:t>
      </w:r>
      <w:r>
        <w:t xml:space="preserve"> </w:t>
      </w:r>
      <w:r>
        <w:rPr>
          <w:bCs/>
          <w:b/>
        </w:rPr>
        <w:t xml:space="preserve">"SGSI"</w:t>
      </w:r>
      <w:r>
        <w:t xml:space="preserve">), conformado conforme a lo dispuesto en el Real Decreto 311/2022, de 3 de mayo, por el que se regula el Esquema Nacional de Seguridad (en adelante,</w:t>
      </w:r>
      <w:r>
        <w:t xml:space="preserve"> </w:t>
      </w:r>
      <w:r>
        <w:rPr>
          <w:bCs/>
          <w:b/>
        </w:rPr>
        <w:t xml:space="preserve">"ENS"</w:t>
      </w:r>
      <w:r>
        <w:t xml:space="preserve">), y, supletoriamente, conforme a las buenas prácticas reconocidas internacionalmente, en particular las recogidas en la norma UNE-EN ISO/IEC 27001:2022.</w:t>
      </w:r>
    </w:p>
    <w:bookmarkEnd w:id="22"/>
    <w:bookmarkStart w:id="23" w:name="X3fd44c2f0b03705c1b450c6c62808b4aec4d9cb"/>
    <w:p>
      <w:pPr>
        <w:pStyle w:val="Heading2"/>
      </w:pPr>
      <w:r>
        <w:t xml:space="preserve">2. OBJETO Y FINALIDAD</w:t>
      </w:r>
    </w:p>
    <w:p>
      <w:pPr>
        <w:pStyle w:val="FirstParagraph"/>
      </w:pPr>
      <w:r>
        <w:t xml:space="preserve">La presente Política tiene por objeto establecer el marco general de gobernanza, principios, objetivos y responsabilidades en materia de seguridad de la información en {{ cliente.razon_social }}, garantizando que:</w:t>
      </w:r>
    </w:p>
    <w:p>
      <w:pPr>
        <w:pStyle w:val="BodyText"/>
      </w:pPr>
      <w:r>
        <w:t xml:space="preserve">a) La información y los servicios prestados estén protegidos frente a amenazas internas o externas, deliberadas o accidentales, que puedan comprometer su confidencialidad, integridad, disponibilidad, autenticidad o trazabilidad.</w:t>
      </w:r>
    </w:p>
    <w:p>
      <w:pPr>
        <w:pStyle w:val="BodyText"/>
      </w:pPr>
      <w:r>
        <w:t xml:space="preserve">b) El cumplimiento de las obligaciones legales, reglamentarias y contractuales aplicables a la Entidad en materia de protección de la información, en particular las derivadas del Real Decreto 311/2022, del Reglamento (UE) 2016/679 del Parlamento Europeo y del Consejo, de 27 de abril de 2016, relativo a la protección de las personas físicas en lo que respecta al tratamiento de datos personales y a la libre circulación de estos datos (Reglamento General de Protección de Datos, en adelante "RGPD"), y de la Ley Orgánica 3/2018, de 5 de diciembre, de Protección de Datos Personales y garantía de los derechos digitales (en adelante "LOPDGDD"), entre otras normas aplicables.</w:t>
      </w:r>
    </w:p>
    <w:p>
      <w:pPr>
        <w:pStyle w:val="BodyText"/>
      </w:pPr>
      <w:r>
        <w:t xml:space="preserve">c) Los riesgos a los que está expuesta la información se identifiquen, valoren, traten y supervisen de forma sistemática y continua.</w:t>
      </w:r>
    </w:p>
    <w:p>
      <w:pPr>
        <w:pStyle w:val="BodyText"/>
      </w:pPr>
      <w:r>
        <w:t xml:space="preserve">d) Existan los recursos humanos, organizativos, técnicos y financieros suficientes para implantar y mantener las medidas de seguridad necesarias.</w:t>
      </w:r>
    </w:p>
    <w:p>
      <w:pPr>
        <w:pStyle w:val="BodyText"/>
      </w:pPr>
      <w:r>
        <w:t xml:space="preserve">e) Toda persona, interna o externa, que acceda a los sistemas o a la información de la Entidad conozca sus obligaciones y responsabilidades en materia de seguridad y actúe en consecuencia.</w:t>
      </w:r>
    </w:p>
    <w:bookmarkEnd w:id="23"/>
    <w:bookmarkStart w:id="27" w:name="Xc4d29fdb6f2a0096cc7bbd083405ccdddc835e8"/>
    <w:p>
      <w:pPr>
        <w:pStyle w:val="Heading2"/>
      </w:pPr>
      <w:r>
        <w:t xml:space="preserve">3. ÁMBITO DE APLICACIÓN</w:t>
      </w:r>
    </w:p>
    <w:bookmarkStart w:id="24" w:name="X6aac4ba7adedbeb1f203a613c66293e56c70740"/>
    <w:p>
      <w:pPr>
        <w:pStyle w:val="Heading3"/>
      </w:pPr>
      <w:r>
        <w:t xml:space="preserve">3.1 Ámbito subjetivo</w:t>
      </w:r>
    </w:p>
    <w:p>
      <w:pPr>
        <w:pStyle w:val="FirstParagraph"/>
      </w:pPr>
      <w:r>
        <w:t xml:space="preserve">La presente Política es de obligado cumplimiento para:</w:t>
      </w:r>
    </w:p>
    <w:p>
      <w:pPr>
        <w:pStyle w:val="BodyText"/>
      </w:pPr>
      <w:r>
        <w:t xml:space="preserve">a) Todo el personal de {{ cliente.razon_social }}, con independencia de su régimen jurídico de relación laboral o funcionarial, su categoría profesional, su antigüedad o su modalidad de contratación, incluyendo personal directivo, técnico, administrativo, becarios y personal en prácticas.</w:t>
      </w:r>
    </w:p>
    <w:p>
      <w:pPr>
        <w:pStyle w:val="BodyText"/>
      </w:pPr>
      <w:r>
        <w:t xml:space="preserve">b) Las personas físicas o jurídicas que, en virtud de cualquier relación contractual, presten servicios a la Entidad o accedan a sus sistemas de información o a información por ella tratada, incluyendo proveedores, contratistas, subcontratistas y consultores externos.</w:t>
      </w:r>
    </w:p>
    <w:p>
      <w:pPr>
        <w:pStyle w:val="BodyText"/>
      </w:pPr>
      <w:r>
        <w:t xml:space="preserve">c) Cualquier tercero que, de forma puntual o continuada, acceda a los recursos de información de la Entidad, debiendo en tal caso suscribir los compromisos de confidencialidad que correspondan.</w:t>
      </w:r>
    </w:p>
    <w:bookmarkEnd w:id="24"/>
    <w:bookmarkStart w:id="25" w:name="Xef9cd0eaf5a4b4762f45a37f4f1babae7225ba5"/>
    <w:p>
      <w:pPr>
        <w:pStyle w:val="Heading3"/>
      </w:pPr>
      <w:r>
        <w:t xml:space="preserve">3.2 Ámbito objetivo</w:t>
      </w:r>
    </w:p>
    <w:p>
      <w:pPr>
        <w:pStyle w:val="FirstParagraph"/>
      </w:pPr>
      <w:r>
        <w:t xml:space="preserve">Esta Política se aplica a la totalidad de los activos de información titularidad de la Entidad o sobre los que ejerza responsabilidad, incluyendo, con carácter no limitativo:</w:t>
      </w:r>
    </w:p>
    <w:p>
      <w:pPr>
        <w:pStyle w:val="BodyText"/>
      </w:pPr>
      <w:r>
        <w:t xml:space="preserve">a) La información en cualquier formato (electrónico, impreso, audiovisual u otros) y en cualquier estado (en tránsito, en uso o almacenada).</w:t>
      </w:r>
    </w:p>
    <w:p>
      <w:pPr>
        <w:pStyle w:val="BodyText"/>
      </w:pPr>
      <w:r>
        <w:t xml:space="preserve">b) Los sistemas de información que dan soporte a los servicios y procesos de la Entidad.</w:t>
      </w:r>
    </w:p>
    <w:p>
      <w:pPr>
        <w:pStyle w:val="BodyText"/>
      </w:pPr>
      <w:r>
        <w:t xml:space="preserve">c) Las infraestructuras tecnológicas, redes, equipos, dispositivos, software y servicios cloud que componen el entorno tecnológico de la Entidad.</w:t>
      </w:r>
    </w:p>
    <w:p>
      <w:pPr>
        <w:pStyle w:val="BodyText"/>
      </w:pPr>
      <w:r>
        <w:t xml:space="preserve">d) Las instalaciones físicas que albergan los activos anteriores.</w:t>
      </w:r>
    </w:p>
    <w:p>
      <w:pPr>
        <w:pStyle w:val="BodyText"/>
      </w:pPr>
      <w:r>
        <w:t xml:space="preserve">e) El personal y los procesos vinculados a la operación, mantenimiento, supervisión y mejora de todo lo anterior.</w:t>
      </w:r>
    </w:p>
    <w:bookmarkEnd w:id="25"/>
    <w:bookmarkStart w:id="26" w:name="X4669f8be76f2fca035a2a5fc6dbc49d26ad6fe6"/>
    <w:p>
      <w:pPr>
        <w:pStyle w:val="Heading3"/>
      </w:pPr>
      <w:r>
        <w:t xml:space="preserve">3.3 Alcance específico para la conformidad con el ENS</w:t>
      </w:r>
    </w:p>
    <w:p>
      <w:pPr>
        <w:pStyle w:val="FirstParagraph"/>
      </w:pPr>
      <w:r>
        <w:t xml:space="preserve">A los efectos de la conformidad con el Real Decreto 311/2022, el alcance del Sistema de Gestión de la Seguridad de la Información comprende:</w:t>
      </w:r>
    </w:p>
    <w:p>
      <w:pPr>
        <w:pStyle w:val="BlockText"/>
      </w:pPr>
      <w:r>
        <w:rPr>
          <w:bCs/>
          <w:b/>
        </w:rPr>
        <w:t xml:space="preserve">{{ proyecto.alcance.descripcion }}</w:t>
      </w:r>
    </w:p>
    <w:p>
      <w:pPr>
        <w:pStyle w:val="FirstParagraph"/>
      </w:pPr>
      <w:r>
        <w:t xml:space="preserve">Los servicios incluidos en este alcance son: {{ proyecto.alcance.servicios_incluidos | join(", ") }}.</w:t>
      </w:r>
    </w:p>
    <w:p>
      <w:pPr>
        <w:pStyle w:val="BodyText"/>
      </w:pPr>
      <w:r>
        <w:t xml:space="preserve">{% if proyecto.alcance.exclusiones %}</w:t>
      </w:r>
      <w:r>
        <w:t xml:space="preserve"> </w:t>
      </w:r>
      <w:r>
        <w:rPr>
          <w:bCs/>
          <w:b/>
        </w:rPr>
        <w:t xml:space="preserve">Exclusiones expresas:</w:t>
      </w:r>
      <w:r>
        <w:t xml:space="preserve"> </w:t>
      </w:r>
      <w:r>
        <w:t xml:space="preserve">{{ proyecto.alcance.exclusiones }}</w:t>
      </w:r>
      <w:r>
        <w:t xml:space="preserve"> </w:t>
      </w:r>
      <w:r>
        <w:t xml:space="preserve">{% endif %}</w:t>
      </w:r>
    </w:p>
    <w:p>
      <w:pPr>
        <w:pStyle w:val="BodyText"/>
      </w:pPr>
      <w:r>
        <w:t xml:space="preserve">La categoría de seguridad asignada al sistema, conforme al procedimiento descrito en el Anexo I del ENS y en la guía CCN-STIC 803, es</w:t>
      </w:r>
      <w:r>
        <w:t xml:space="preserve"> </w:t>
      </w:r>
      <w:r>
        <w:rPr>
          <w:bCs/>
          <w:b/>
        </w:rPr>
        <w:t xml:space="preserve">{{ proyecto.categoria_ens }}</w:t>
      </w:r>
      <w:r>
        <w:t xml:space="preserve">.</w:t>
      </w:r>
    </w:p>
    <w:bookmarkEnd w:id="26"/>
    <w:bookmarkEnd w:id="27"/>
    <w:bookmarkStart w:id="31" w:name="Xc8df47918dec22009b2bfea86abd6c165c22be9"/>
    <w:p>
      <w:pPr>
        <w:pStyle w:val="Heading2"/>
      </w:pPr>
      <w:r>
        <w:t xml:space="preserve">4. MARCO NORMATIVO DE REFERENCIA</w:t>
      </w:r>
    </w:p>
    <w:p>
      <w:pPr>
        <w:pStyle w:val="FirstParagraph"/>
      </w:pPr>
      <w:r>
        <w:t xml:space="preserve">La presente Política se fundamenta y ha de interpretarse en el marco de las siguientes disposiciones, en su versión vigente en cada momento, así como en cuantas otras le resulten de aplicación:</w:t>
      </w:r>
    </w:p>
    <w:bookmarkStart w:id="28" w:name="X560d47191035cd239c96086b290c53fc78d4df8"/>
    <w:p>
      <w:pPr>
        <w:pStyle w:val="Heading3"/>
      </w:pPr>
      <w:r>
        <w:t xml:space="preserve">4.1 Normativa nacional</w:t>
      </w:r>
    </w:p>
    <w:p>
      <w:pPr>
        <w:pStyle w:val="FirstParagraph"/>
      </w:pPr>
      <w:r>
        <w:t xml:space="preserve">a) Real Decreto 311/2022, de 3 de mayo, por el que se regula el Esquema Nacional de Seguridad.</w:t>
      </w:r>
    </w:p>
    <w:p>
      <w:pPr>
        <w:pStyle w:val="BodyText"/>
      </w:pPr>
      <w:r>
        <w:t xml:space="preserve">b) Ley Orgánica 3/2018, de 5 de diciembre, de Protección de Datos Personales y garantía de los derechos digitales.</w:t>
      </w:r>
    </w:p>
    <w:p>
      <w:pPr>
        <w:pStyle w:val="BodyText"/>
      </w:pPr>
      <w:r>
        <w:t xml:space="preserve">c) Ley 39/2015, de 1 de octubre, del Procedimiento Administrativo Común de las Administraciones Públicas.</w:t>
      </w:r>
    </w:p>
    <w:p>
      <w:pPr>
        <w:pStyle w:val="BodyText"/>
      </w:pPr>
      <w:r>
        <w:t xml:space="preserve">d) Ley 40/2015, de 1 de octubre, de Régimen Jurídico del Sector Público.</w:t>
      </w:r>
    </w:p>
    <w:p>
      <w:pPr>
        <w:pStyle w:val="BodyText"/>
      </w:pPr>
      <w:r>
        <w:t xml:space="preserve">e) Resolución de 13 de octubre de 2016, de la Secretaría de Estado de Administraciones Públicas, por la que se aprueba la Instrucción Técnica de Seguridad de conformidad con el Esquema Nacional de Seguridad (BOE-A-2016-10109).</w:t>
      </w:r>
    </w:p>
    <w:p>
      <w:pPr>
        <w:pStyle w:val="BodyText"/>
      </w:pPr>
      <w:r>
        <w:t xml:space="preserve">f) Resolución de 13 de octubre de 2016, de la Secretaría de Estado de Administraciones Públicas, por la que se aprueba la Instrucción Técnica de Seguridad de Informe del Estado de la Seguridad (BOE-A-2016-10108).</w:t>
      </w:r>
    </w:p>
    <w:p>
      <w:pPr>
        <w:pStyle w:val="BodyText"/>
      </w:pPr>
      <w:r>
        <w:t xml:space="preserve">g) Resolución de 27 de marzo de 2018, de la Secretaría de Estado de Función Pública, por la que se aprueba la Instrucción Técnica de Seguridad de Auditoría de la Seguridad de los Sistemas de Información (BOE-A-2018-4573).</w:t>
      </w:r>
    </w:p>
    <w:p>
      <w:pPr>
        <w:pStyle w:val="BodyText"/>
      </w:pPr>
      <w:r>
        <w:t xml:space="preserve">h) Resolución de 13 de abril de 2018, de la Secretaría de Estado de Función Pública, por la que se aprueba la Instrucción Técnica de Seguridad de Notificación de Incidentes de Seguridad (BOE-A-2018-5370).</w:t>
      </w:r>
    </w:p>
    <w:bookmarkEnd w:id="28"/>
    <w:bookmarkStart w:id="29" w:name="Xf61085df822c8baa374b9985cbb30f91c35beaf"/>
    <w:p>
      <w:pPr>
        <w:pStyle w:val="Heading3"/>
      </w:pPr>
      <w:r>
        <w:t xml:space="preserve">4.2 Normativa europea</w:t>
      </w:r>
    </w:p>
    <w:p>
      <w:pPr>
        <w:pStyle w:val="FirstParagraph"/>
      </w:pPr>
      <w:r>
        <w:t xml:space="preserve">a) Reglamento (UE) 2016/679 del Parlamento Europeo y del Consejo, de 27 de abril de 2016 (RGPD).</w:t>
      </w:r>
    </w:p>
    <w:p>
      <w:pPr>
        <w:pStyle w:val="BodyText"/>
      </w:pPr>
      <w:r>
        <w:t xml:space="preserve">b) Directiva (UE) 2022/2555 del Parlamento Europeo y del Consejo, de 14 de diciembre de 2022, relativa a las medidas destinadas a garantizar un elevado nivel común de ciberseguridad en toda la Unión (NIS2).</w:t>
      </w:r>
    </w:p>
    <w:p>
      <w:pPr>
        <w:pStyle w:val="BodyText"/>
      </w:pPr>
      <w:r>
        <w:t xml:space="preserve">c) Reglamento (UE) 910/2014 del Parlamento Europeo y del Consejo, de 23 de julio de 2014, relativo a la identificación electrónica y los servicios de confianza para las transacciones electrónicas en el mercado interior (eIDAS).</w:t>
      </w:r>
    </w:p>
    <w:p>
      <w:pPr>
        <w:pStyle w:val="BodyText"/>
      </w:pPr>
      <w:r>
        <w:t xml:space="preserve">{% if cliente.sector_actividad in ["fintech", "servicios financieros", "banca", "seguros"] %}</w:t>
      </w:r>
      <w:r>
        <w:t xml:space="preserve"> </w:t>
      </w:r>
      <w:r>
        <w:t xml:space="preserve">d) Reglamento (UE) 2022/2554 del Parlamento Europeo y del Consejo, de 14 de diciembre de 2022, sobre la resiliencia operativa digital del sector financiero (DORA).</w:t>
      </w:r>
      <w:r>
        <w:t xml:space="preserve"> </w:t>
      </w:r>
      <w:r>
        <w:t xml:space="preserve">{% endif %}</w:t>
      </w:r>
    </w:p>
    <w:bookmarkEnd w:id="29"/>
    <w:bookmarkStart w:id="30" w:name="X5e073ddb52cc4b1432b49553cc65dade5138c46"/>
    <w:p>
      <w:pPr>
        <w:pStyle w:val="Heading3"/>
      </w:pPr>
      <w:r>
        <w:t xml:space="preserve">4.3 Estándares y guías técnicas de referencia</w:t>
      </w:r>
    </w:p>
    <w:p>
      <w:pPr>
        <w:pStyle w:val="FirstParagraph"/>
      </w:pPr>
      <w:r>
        <w:t xml:space="preserve">a) Norma UNE-EN ISO/IEC 27001:2022 — Sistemas de Gestión de la Seguridad de la Información — Requisitos.</w:t>
      </w:r>
    </w:p>
    <w:p>
      <w:pPr>
        <w:pStyle w:val="BodyText"/>
      </w:pPr>
      <w:r>
        <w:t xml:space="preserve">b) Norma UNE-EN ISO/IEC 27002:2022 — Controles de seguridad de la información.</w:t>
      </w:r>
    </w:p>
    <w:p>
      <w:pPr>
        <w:pStyle w:val="BodyText"/>
      </w:pPr>
      <w:r>
        <w:t xml:space="preserve">c) Serie de guías CCN-STIC 800 emitidas por el Centro Criptológico Nacional, y en particular:</w:t>
      </w:r>
    </w:p>
    <w:p>
      <w:pPr>
        <w:numPr>
          <w:ilvl w:val="0"/>
          <w:numId w:val="1001"/>
        </w:numPr>
        <w:pStyle w:val="Compact"/>
      </w:pPr>
      <w:r>
        <w:t xml:space="preserve">CCN-STIC 800 — Glosario de términos y abreviaturas del ENS.</w:t>
      </w:r>
    </w:p>
    <w:p>
      <w:pPr>
        <w:numPr>
          <w:ilvl w:val="0"/>
          <w:numId w:val="1001"/>
        </w:numPr>
        <w:pStyle w:val="Compact"/>
      </w:pPr>
      <w:r>
        <w:t xml:space="preserve">CCN-STIC 802 — Guía de auditoría del ENS.</w:t>
      </w:r>
    </w:p>
    <w:p>
      <w:pPr>
        <w:numPr>
          <w:ilvl w:val="0"/>
          <w:numId w:val="1001"/>
        </w:numPr>
        <w:pStyle w:val="Compact"/>
      </w:pPr>
      <w:r>
        <w:t xml:space="preserve">CCN-STIC 803 — Valoración de los sistemas en el ENS.</w:t>
      </w:r>
    </w:p>
    <w:p>
      <w:pPr>
        <w:numPr>
          <w:ilvl w:val="0"/>
          <w:numId w:val="1001"/>
        </w:numPr>
        <w:pStyle w:val="Compact"/>
      </w:pPr>
      <w:r>
        <w:t xml:space="preserve">CCN-STIC 805 — Política de Seguridad de la Información.</w:t>
      </w:r>
    </w:p>
    <w:p>
      <w:pPr>
        <w:numPr>
          <w:ilvl w:val="0"/>
          <w:numId w:val="1001"/>
        </w:numPr>
        <w:pStyle w:val="Compact"/>
      </w:pPr>
      <w:r>
        <w:t xml:space="preserve">CCN-STIC 806 — Plan de Adecuación al ENS.</w:t>
      </w:r>
    </w:p>
    <w:p>
      <w:pPr>
        <w:numPr>
          <w:ilvl w:val="0"/>
          <w:numId w:val="1001"/>
        </w:numPr>
        <w:pStyle w:val="Compact"/>
      </w:pPr>
      <w:r>
        <w:t xml:space="preserve">CCN-STIC 808 — Verificación del cumplimiento del ENS.</w:t>
      </w:r>
    </w:p>
    <w:p>
      <w:pPr>
        <w:pStyle w:val="FirstParagraph"/>
      </w:pPr>
      <w:r>
        <w:t xml:space="preserve">d) Metodología MAGERIT versión 3 — Metodología de Análisis y Gestión de Riesgos de los Sistemas de Información, del Consejo Superior de Administración Electrónica.</w:t>
      </w:r>
    </w:p>
    <w:bookmarkEnd w:id="30"/>
    <w:bookmarkEnd w:id="31"/>
    <w:bookmarkStart w:id="32" w:name="X1e09ed1f5010b481578536460b8f4c579f5a18d"/>
    <w:p>
      <w:pPr>
        <w:pStyle w:val="Heading2"/>
      </w:pPr>
      <w:r>
        <w:t xml:space="preserve">5. PRINCIPIOS BÁSICOS DE LA SEGURIDAD DE LA INFORMACIÓN</w:t>
      </w:r>
    </w:p>
    <w:p>
      <w:pPr>
        <w:pStyle w:val="FirstParagraph"/>
      </w:pPr>
      <w:r>
        <w:t xml:space="preserve">De conformidad con el artículo 5 del ENS, la presente Política y el SGSI de la Entidad se rigen por los siguientes principios básicos:</w:t>
      </w:r>
    </w:p>
    <w:p>
      <w:pPr>
        <w:pStyle w:val="BodyText"/>
      </w:pPr>
      <w:r>
        <w:rPr>
          <w:bCs/>
          <w:b/>
        </w:rPr>
        <w:t xml:space="preserve">5.1. Seguridad como proceso integral.</w:t>
      </w:r>
      <w:r>
        <w:t xml:space="preserve"> </w:t>
      </w:r>
      <w:r>
        <w:t xml:space="preserve">La seguridad se entiende como un proceso continuo que abarca todos los elementos humanos, materiales, técnicos, jurídicos y organizativos relacionados con el sistema, y no como un estado puntual ni como una mera implementación tecnológica.</w:t>
      </w:r>
    </w:p>
    <w:p>
      <w:pPr>
        <w:pStyle w:val="BodyText"/>
      </w:pPr>
      <w:r>
        <w:rPr>
          <w:bCs/>
          <w:b/>
        </w:rPr>
        <w:t xml:space="preserve">5.2. Gestión de la seguridad basada en los riesgos.</w:t>
      </w:r>
      <w:r>
        <w:t xml:space="preserve"> </w:t>
      </w:r>
      <w:r>
        <w:t xml:space="preserve">El análisis y la gestión de los riesgos constituyen una parte esencial del proceso de seguridad. La Entidad mantendrá un proceso de análisis y gestión de riesgos continuo y proporcional a la naturaleza y categoría del sistema, conforme a la metodología MAGERIT.</w:t>
      </w:r>
    </w:p>
    <w:p>
      <w:pPr>
        <w:pStyle w:val="BodyText"/>
      </w:pPr>
      <w:r>
        <w:rPr>
          <w:bCs/>
          <w:b/>
        </w:rPr>
        <w:t xml:space="preserve">5.3. Prevención, detección, respuesta y conservación.</w:t>
      </w:r>
      <w:r>
        <w:t xml:space="preserve"> </w:t>
      </w:r>
      <w:r>
        <w:t xml:space="preserve">La Entidad implantará medidas que eviten razonablemente la materialización de las amenazas, detecten los incidentes con prontitud, permitan responder de forma eficaz y conserven la información necesaria para su análisis posterior.</w:t>
      </w:r>
    </w:p>
    <w:p>
      <w:pPr>
        <w:pStyle w:val="BodyText"/>
      </w:pPr>
      <w:r>
        <w:rPr>
          <w:bCs/>
          <w:b/>
        </w:rPr>
        <w:t xml:space="preserve">5.4. Existencia de líneas de defensa.</w:t>
      </w:r>
      <w:r>
        <w:t xml:space="preserve"> </w:t>
      </w:r>
      <w:r>
        <w:t xml:space="preserve">El sistema dispondrá de una estrategia de protección constituida por múltiples capas de seguridad, dispuestas de modo que, cuando una de ellas falle, otras permitan ganar tiempo para una reacción adecuada y reducir la probabilidad de que el sistema se vea comprometido en su conjunto.</w:t>
      </w:r>
    </w:p>
    <w:p>
      <w:pPr>
        <w:pStyle w:val="BodyText"/>
      </w:pPr>
      <w:r>
        <w:rPr>
          <w:bCs/>
          <w:b/>
        </w:rPr>
        <w:t xml:space="preserve">5.5. Vigilancia continua y reevaluación periódica.</w:t>
      </w:r>
      <w:r>
        <w:t xml:space="preserve"> </w:t>
      </w:r>
      <w:r>
        <w:t xml:space="preserve">La Entidad establecerá mecanismos de vigilancia continua que permitan detectar cualquier actividad anómala y reaccionar ante ella, así como mecanismos de reevaluación periódica que permitan adaptar la estrategia de seguridad a las nuevas circunstancias.</w:t>
      </w:r>
    </w:p>
    <w:p>
      <w:pPr>
        <w:pStyle w:val="BodyText"/>
      </w:pPr>
      <w:r>
        <w:rPr>
          <w:bCs/>
          <w:b/>
        </w:rPr>
        <w:t xml:space="preserve">5.6. Diferenciación de responsabilidades.</w:t>
      </w:r>
      <w:r>
        <w:t xml:space="preserve"> </w:t>
      </w:r>
      <w:r>
        <w:t xml:space="preserve">Las funciones y responsabilidades en materia de seguridad estarán claramente diferenciadas entre el responsable de la información, el responsable del servicio, el responsable de la seguridad y el responsable del sistema, conforme se establece en el documento {{ proyecto.codigo_documento_base }}-ABSORB_INTO_E100 (Roles, Responsabilidades y Autoridades de Seguridad).</w:t>
      </w:r>
    </w:p>
    <w:bookmarkEnd w:id="32"/>
    <w:bookmarkStart w:id="33" w:name="X24ce895cdc14afab34ef8f34a95d1e4e5235712"/>
    <w:p>
      <w:pPr>
        <w:pStyle w:val="Heading2"/>
      </w:pPr>
      <w:r>
        <w:t xml:space="preserve">6. REQUISITOS MÍNIMOS DE SEGURIDAD</w:t>
      </w:r>
    </w:p>
    <w:p>
      <w:pPr>
        <w:pStyle w:val="FirstParagraph"/>
      </w:pPr>
      <w:r>
        <w:t xml:space="preserve">En cumplimiento de los requisitos mínimos establecidos en el artículo 12 y siguientes del ENS, la Entidad garantizará el cumplimiento, al menos, de los siguientes requisitos:</w:t>
      </w:r>
    </w:p>
    <w:p>
      <w:pPr>
        <w:pStyle w:val="BodyText"/>
      </w:pPr>
      <w:r>
        <w:t xml:space="preserve">a)</w:t>
      </w:r>
      <w:r>
        <w:t xml:space="preserve"> </w:t>
      </w:r>
      <w:r>
        <w:rPr>
          <w:bCs/>
          <w:b/>
        </w:rPr>
        <w:t xml:space="preserve">Organización e implantación del proceso de seguridad</w:t>
      </w:r>
      <w:r>
        <w:t xml:space="preserve">, mediante la formalización del Comité de Seguridad y la designación de los roles definidos en el documento {{ proyecto.codigo_documento_base }}-ABSORB_INTO_E100.</w:t>
      </w:r>
    </w:p>
    <w:p>
      <w:pPr>
        <w:pStyle w:val="BodyText"/>
      </w:pPr>
      <w:r>
        <w:t xml:space="preserve">b)</w:t>
      </w:r>
      <w:r>
        <w:t xml:space="preserve"> </w:t>
      </w:r>
      <w:r>
        <w:rPr>
          <w:bCs/>
          <w:b/>
        </w:rPr>
        <w:t xml:space="preserve">Análisis y gestión de los riesgos</w:t>
      </w:r>
      <w:r>
        <w:t xml:space="preserve">, mediante la aplicación sistemática de la metodología MAGERIT v3 y la elaboración del correspondiente Análisis de Riesgos, que se revisará al menos con carácter anual y siempre que se produzcan cambios significativos en el sistema.</w:t>
      </w:r>
    </w:p>
    <w:p>
      <w:pPr>
        <w:pStyle w:val="BodyText"/>
      </w:pPr>
      <w:r>
        <w:t xml:space="preserve">c)</w:t>
      </w:r>
      <w:r>
        <w:t xml:space="preserve"> </w:t>
      </w:r>
      <w:r>
        <w:rPr>
          <w:bCs/>
          <w:b/>
        </w:rPr>
        <w:t xml:space="preserve">Gestión de personal</w:t>
      </w:r>
      <w:r>
        <w:t xml:space="preserve">, asegurando que todas las personas con acceso al sistema conozcan sus responsabilidades en materia de seguridad y reciban la formación y concienciación adecuadas.</w:t>
      </w:r>
    </w:p>
    <w:p>
      <w:pPr>
        <w:pStyle w:val="BodyText"/>
      </w:pPr>
      <w:r>
        <w:t xml:space="preserve">d)</w:t>
      </w:r>
      <w:r>
        <w:t xml:space="preserve"> </w:t>
      </w:r>
      <w:r>
        <w:rPr>
          <w:bCs/>
          <w:b/>
        </w:rPr>
        <w:t xml:space="preserve">Profesionalidad</w:t>
      </w:r>
      <w:r>
        <w:t xml:space="preserve">, garantizando que los responsables del sistema cuentan con la capacitación técnica y la experiencia necesarias.</w:t>
      </w:r>
    </w:p>
    <w:p>
      <w:pPr>
        <w:pStyle w:val="BodyText"/>
      </w:pPr>
      <w:r>
        <w:t xml:space="preserve">e)</w:t>
      </w:r>
      <w:r>
        <w:t xml:space="preserve"> </w:t>
      </w:r>
      <w:r>
        <w:rPr>
          <w:bCs/>
          <w:b/>
        </w:rPr>
        <w:t xml:space="preserve">Autorización y control de los accesos</w:t>
      </w:r>
      <w:r>
        <w:t xml:space="preserve">, conforme se desarrolla en el documento {{ proyecto.codigo_documento_base }}-101 (Política de Control de Acceso).</w:t>
      </w:r>
    </w:p>
    <w:p>
      <w:pPr>
        <w:pStyle w:val="BodyText"/>
      </w:pPr>
      <w:r>
        <w:t xml:space="preserve">f)</w:t>
      </w:r>
      <w:r>
        <w:t xml:space="preserve"> </w:t>
      </w:r>
      <w:r>
        <w:rPr>
          <w:bCs/>
          <w:b/>
        </w:rPr>
        <w:t xml:space="preserve">Protección de las instalaciones</w:t>
      </w:r>
      <w:r>
        <w:t xml:space="preserve">, mediante medidas físicas y ambientales proporcionales al riesgo identificado.</w:t>
      </w:r>
    </w:p>
    <w:p>
      <w:pPr>
        <w:pStyle w:val="BodyText"/>
      </w:pPr>
      <w:r>
        <w:t xml:space="preserve">g)</w:t>
      </w:r>
      <w:r>
        <w:t xml:space="preserve"> </w:t>
      </w:r>
      <w:r>
        <w:rPr>
          <w:bCs/>
          <w:b/>
        </w:rPr>
        <w:t xml:space="preserve">Adquisición de productos y servicios de seguridad</w:t>
      </w:r>
      <w:r>
        <w:t xml:space="preserve">, atendiendo, cuando proceda, a las disposiciones del Catálogo de Productos y Servicios de Seguridad de las Tecnologías de la Información y la Comunicación (CPSTIC) del Centro Criptológico Nacional.</w:t>
      </w:r>
    </w:p>
    <w:p>
      <w:pPr>
        <w:pStyle w:val="BodyText"/>
      </w:pPr>
      <w:r>
        <w:t xml:space="preserve">h)</w:t>
      </w:r>
      <w:r>
        <w:t xml:space="preserve"> </w:t>
      </w:r>
      <w:r>
        <w:rPr>
          <w:bCs/>
          <w:b/>
        </w:rPr>
        <w:t xml:space="preserve">Mínimo privilegio</w:t>
      </w:r>
      <w:r>
        <w:t xml:space="preserve">, otorgando a cada usuario únicamente los derechos de acceso estrictamente necesarios para el desempeño de sus funciones.</w:t>
      </w:r>
    </w:p>
    <w:p>
      <w:pPr>
        <w:pStyle w:val="BodyText"/>
      </w:pPr>
      <w:r>
        <w:t xml:space="preserve">i)</w:t>
      </w:r>
      <w:r>
        <w:t xml:space="preserve"> </w:t>
      </w:r>
      <w:r>
        <w:rPr>
          <w:bCs/>
          <w:b/>
        </w:rPr>
        <w:t xml:space="preserve">Integridad y actualización del sistema</w:t>
      </w:r>
      <w:r>
        <w:t xml:space="preserve">, manteniendo el inventario de activos actualizado y aplicando un proceso formal de gestión de cambios y de actualizaciones de seguridad.</w:t>
      </w:r>
    </w:p>
    <w:p>
      <w:pPr>
        <w:pStyle w:val="BodyText"/>
      </w:pPr>
      <w:r>
        <w:t xml:space="preserve">j)</w:t>
      </w:r>
      <w:r>
        <w:t xml:space="preserve"> </w:t>
      </w:r>
      <w:r>
        <w:rPr>
          <w:bCs/>
          <w:b/>
        </w:rPr>
        <w:t xml:space="preserve">Protección de la información almacenada y en tránsito</w:t>
      </w:r>
      <w:r>
        <w:t xml:space="preserve">, mediante el uso de mecanismos criptográficos adecuados al nivel de seguridad exigible.</w:t>
      </w:r>
    </w:p>
    <w:p>
      <w:pPr>
        <w:pStyle w:val="BodyText"/>
      </w:pPr>
      <w:r>
        <w:t xml:space="preserve">k)</w:t>
      </w:r>
      <w:r>
        <w:t xml:space="preserve"> </w:t>
      </w:r>
      <w:r>
        <w:rPr>
          <w:bCs/>
          <w:b/>
        </w:rPr>
        <w:t xml:space="preserve">Prevención ante otros sistemas de información interconectados</w:t>
      </w:r>
      <w:r>
        <w:t xml:space="preserve">, mediante el establecimiento de los controles de interconexión necesarios.</w:t>
      </w:r>
    </w:p>
    <w:p>
      <w:pPr>
        <w:pStyle w:val="BodyText"/>
      </w:pPr>
      <w:r>
        <w:t xml:space="preserve">l)</w:t>
      </w:r>
      <w:r>
        <w:t xml:space="preserve"> </w:t>
      </w:r>
      <w:r>
        <w:rPr>
          <w:bCs/>
          <w:b/>
        </w:rPr>
        <w:t xml:space="preserve">Registro de la actividad y detección de código dañino</w:t>
      </w:r>
      <w:r>
        <w:t xml:space="preserve">, garantizando la trazabilidad de las acciones y la protección frente a software malicioso.</w:t>
      </w:r>
    </w:p>
    <w:p>
      <w:pPr>
        <w:pStyle w:val="BodyText"/>
      </w:pPr>
      <w:r>
        <w:t xml:space="preserve">m)</w:t>
      </w:r>
      <w:r>
        <w:t xml:space="preserve"> </w:t>
      </w:r>
      <w:r>
        <w:rPr>
          <w:bCs/>
          <w:b/>
        </w:rPr>
        <w:t xml:space="preserve">Incidentes de seguridad</w:t>
      </w:r>
      <w:r>
        <w:t xml:space="preserve">, mediante la implantación del proceso descrito en el documento {{ proyecto.codigo_documento_base }}-108 (Política de Gestión de Incidentes de Seguridad).</w:t>
      </w:r>
    </w:p>
    <w:p>
      <w:pPr>
        <w:pStyle w:val="BodyText"/>
      </w:pPr>
      <w:r>
        <w:t xml:space="preserve">n)</w:t>
      </w:r>
      <w:r>
        <w:t xml:space="preserve"> </w:t>
      </w:r>
      <w:r>
        <w:rPr>
          <w:bCs/>
          <w:b/>
        </w:rPr>
        <w:t xml:space="preserve">Continuidad de la actividad</w:t>
      </w:r>
      <w:r>
        <w:t xml:space="preserve">, mediante el plan descrito en el documento {{ proyecto.codigo_documento_base }}-109 (Política de Continuidad del Servicio).</w:t>
      </w:r>
    </w:p>
    <w:p>
      <w:pPr>
        <w:pStyle w:val="BodyText"/>
      </w:pPr>
      <w:r>
        <w:t xml:space="preserve">o)</w:t>
      </w:r>
      <w:r>
        <w:t xml:space="preserve"> </w:t>
      </w:r>
      <w:r>
        <w:rPr>
          <w:bCs/>
          <w:b/>
        </w:rPr>
        <w:t xml:space="preserve">Mejora continua del proceso de seguridad</w:t>
      </w:r>
      <w:r>
        <w:t xml:space="preserve">, mediante el ciclo PDCA aplicado al SGSI y la revisión periódica de la presente Política.</w:t>
      </w:r>
    </w:p>
    <w:bookmarkEnd w:id="33"/>
    <w:bookmarkStart w:id="36" w:name="X71d485195be597d5d2a32c07bed84ce7592d38f"/>
    <w:p>
      <w:pPr>
        <w:pStyle w:val="Heading2"/>
      </w:pPr>
      <w:r>
        <w:t xml:space="preserve">7. ESTRUCTURA ORGANIZATIVA DE LA SEGURIDAD</w:t>
      </w:r>
    </w:p>
    <w:bookmarkStart w:id="34" w:name="X51237cdf77fa162e3b42085a3ab6cdb6ad80bbf"/>
    <w:p>
      <w:pPr>
        <w:pStyle w:val="Heading3"/>
      </w:pPr>
      <w:r>
        <w:t xml:space="preserve">7.1 Comité de Seguridad de la Información</w:t>
      </w:r>
    </w:p>
    <w:p>
      <w:pPr>
        <w:pStyle w:val="FirstParagraph"/>
      </w:pPr>
      <w:r>
        <w:t xml:space="preserve">La Entidad constituye un Comité de Seguridad de la Información, en adelante "el Comité", como órgano colegiado responsable del seguimiento, supervisión y coordinación del SGSI.</w:t>
      </w:r>
    </w:p>
    <w:p>
      <w:pPr>
        <w:pStyle w:val="BodyText"/>
      </w:pPr>
      <w:r>
        <w:t xml:space="preserve">El Comité estará presidido por {{ responsables.comite_seguridad.presidente }}, y estará integrado por las siguientes personas o por quienes en cada momento ocupen los cargos indicados:</w:t>
      </w:r>
    </w:p>
    <w:p>
      <w:pPr>
        <w:pStyle w:val="BodyText"/>
      </w:pPr>
      <w:r>
        <w:t xml:space="preserve">{% for miembro in responsables.comite_seguridad.miembros %}</w:t>
      </w:r>
    </w:p>
    <w:p>
      <w:pPr>
        <w:numPr>
          <w:ilvl w:val="0"/>
          <w:numId w:val="1002"/>
        </w:numPr>
        <w:pStyle w:val="Compact"/>
      </w:pPr>
      <w:r>
        <w:t xml:space="preserve">{{ miembro }}</w:t>
      </w:r>
      <w:r>
        <w:t xml:space="preserve"> </w:t>
      </w:r>
      <w:r>
        <w:t xml:space="preserve">{% endfor %}</w:t>
      </w:r>
    </w:p>
    <w:p>
      <w:pPr>
        <w:pStyle w:val="FirstParagraph"/>
      </w:pPr>
      <w:r>
        <w:t xml:space="preserve">Actuará como secretario del Comité {{ responsables.comite_seguridad.secretario }}, quien levantará acta de las sesiones celebradas. El Comité se reunirá con carácter ordinario {{ responsables.comite_seguridad.frecuencia_reuniones }} y, con carácter extraordinario, cuando sea convocado por su presidente o lo soliciten al menos dos de sus miembros.</w:t>
      </w:r>
    </w:p>
    <w:p>
      <w:pPr>
        <w:pStyle w:val="BodyText"/>
      </w:pPr>
      <w:r>
        <w:t xml:space="preserve">Son funciones del Comité, entre otras:</w:t>
      </w:r>
    </w:p>
    <w:p>
      <w:pPr>
        <w:pStyle w:val="BodyText"/>
      </w:pPr>
      <w:r>
        <w:t xml:space="preserve">a) Aprobar las directrices generales en materia de seguridad de la información y elevar al órgano superior las propuestas de modificación de la presente Política.</w:t>
      </w:r>
    </w:p>
    <w:p>
      <w:pPr>
        <w:pStyle w:val="BodyText"/>
      </w:pPr>
      <w:r>
        <w:t xml:space="preserve">b) Coordinar la elaboración, revisión y actualización de la normativa interna de seguridad.</w:t>
      </w:r>
    </w:p>
    <w:p>
      <w:pPr>
        <w:pStyle w:val="BodyText"/>
      </w:pPr>
      <w:r>
        <w:t xml:space="preserve">c) Revisar el resultado del análisis de riesgos y aprobar el plan de tratamiento.</w:t>
      </w:r>
    </w:p>
    <w:p>
      <w:pPr>
        <w:pStyle w:val="BodyText"/>
      </w:pPr>
      <w:r>
        <w:t xml:space="preserve">d) Supervisar la implantación de las medidas de seguridad.</w:t>
      </w:r>
    </w:p>
    <w:p>
      <w:pPr>
        <w:pStyle w:val="BodyText"/>
      </w:pPr>
      <w:r>
        <w:t xml:space="preserve">e) Analizar los incidentes de seguridad relevantes y velar por la adopción de medidas correctivas.</w:t>
      </w:r>
    </w:p>
    <w:p>
      <w:pPr>
        <w:pStyle w:val="BodyText"/>
      </w:pPr>
      <w:r>
        <w:t xml:space="preserve">f) Conocer los resultados de las auditorías internas y externas y velar por la subsanación de las no conformidades detectadas.</w:t>
      </w:r>
    </w:p>
    <w:p>
      <w:pPr>
        <w:pStyle w:val="BodyText"/>
      </w:pPr>
      <w:r>
        <w:t xml:space="preserve">g) Informar al órgano superior sobre el estado del SGSI con la periodicidad que se determine.</w:t>
      </w:r>
    </w:p>
    <w:bookmarkEnd w:id="34"/>
    <w:bookmarkStart w:id="35" w:name="X8f41676eea4b4bd2701d767387c60befb0ab35a"/>
    <w:p>
      <w:pPr>
        <w:pStyle w:val="Heading3"/>
      </w:pPr>
      <w:r>
        <w:t xml:space="preserve">7.2 Roles operativos</w:t>
      </w:r>
    </w:p>
    <w:p>
      <w:pPr>
        <w:pStyle w:val="FirstParagraph"/>
      </w:pPr>
      <w:r>
        <w:t xml:space="preserve">La estructura operativa de la seguridad descansa sobre los cuatro roles previstos en el artículo 11 del ENS, cuyo nombramiento, funciones y responsabilidades se desarrollan en el documento {{ proyecto.codigo_documento_base }}-ABSORB_INTO_E100.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w:t>
            </w:r>
          </w:p>
        </w:tc>
        <w:tc>
          <w:tcPr/>
          <w:p>
            <w:pPr>
              <w:pStyle w:val="Compact"/>
              <w:jc w:val="left"/>
            </w:pPr>
            <w:r>
              <w:t xml:space="preserve">Persona designada</w:t>
            </w:r>
          </w:p>
        </w:tc>
        <w:tc>
          <w:tcPr/>
          <w:p>
            <w:pPr>
              <w:pStyle w:val="Compact"/>
              <w:jc w:val="left"/>
            </w:pPr>
            <w:r>
              <w:t xml:space="preserve">Cargo</w:t>
            </w:r>
          </w:p>
        </w:tc>
      </w:tr>
      <w:tr>
        <w:tc>
          <w:tcPr/>
          <w:p>
            <w:pPr>
              <w:pStyle w:val="Compact"/>
              <w:jc w:val="left"/>
            </w:pPr>
            <w:r>
              <w:t xml:space="preserve">Responsable de la Información</w:t>
            </w:r>
          </w:p>
        </w:tc>
        <w:tc>
          <w:tcPr/>
          <w:p>
            <w:pPr>
              <w:pStyle w:val="Compact"/>
              <w:jc w:val="left"/>
            </w:pPr>
            <w:r>
              <w:t xml:space="preserve">{{ responsables.responsable_informacion.nombre }}</w:t>
            </w:r>
          </w:p>
        </w:tc>
        <w:tc>
          <w:tcPr/>
          <w:p>
            <w:pPr>
              <w:pStyle w:val="Compact"/>
              <w:jc w:val="left"/>
            </w:pPr>
            <w:r>
              <w:t xml:space="preserve">{{ responsables.responsable_informacion.cargo }}</w:t>
            </w:r>
          </w:p>
        </w:tc>
      </w:tr>
      <w:tr>
        <w:tc>
          <w:tcPr/>
          <w:p>
            <w:pPr>
              <w:pStyle w:val="Compact"/>
              <w:jc w:val="left"/>
            </w:pPr>
            <w:r>
              <w:t xml:space="preserve">Responsable del Servicio</w:t>
            </w:r>
          </w:p>
        </w:tc>
        <w:tc>
          <w:tcPr/>
          <w:p>
            <w:pPr>
              <w:pStyle w:val="Compact"/>
              <w:jc w:val="left"/>
            </w:pPr>
            <w:r>
              <w:t xml:space="preserve">{{ responsables.responsable_servicio.nombre }}</w:t>
            </w:r>
          </w:p>
        </w:tc>
        <w:tc>
          <w:tcPr/>
          <w:p>
            <w:pPr>
              <w:pStyle w:val="Compact"/>
              <w:jc w:val="left"/>
            </w:pPr>
            <w:r>
              <w:t xml:space="preserve">{{ responsables.responsable_servicio.cargo }}</w:t>
            </w:r>
          </w:p>
        </w:tc>
      </w:tr>
      <w:tr>
        <w:tc>
          <w:tcPr/>
          <w:p>
            <w:pPr>
              <w:pStyle w:val="Compact"/>
              <w:jc w:val="left"/>
            </w:pPr>
            <w:r>
              <w:t xml:space="preserve">Responsable de la Seguridad</w:t>
            </w:r>
          </w:p>
        </w:tc>
        <w:tc>
          <w:tcPr/>
          <w:p>
            <w:pPr>
              <w:pStyle w:val="Compact"/>
              <w:jc w:val="left"/>
            </w:pPr>
            <w:r>
              <w:t xml:space="preserve">{{ responsables.responsable_seguridad.nombre }}</w:t>
            </w:r>
          </w:p>
        </w:tc>
        <w:tc>
          <w:tcPr/>
          <w:p>
            <w:pPr>
              <w:pStyle w:val="Compact"/>
              <w:jc w:val="left"/>
            </w:pPr>
            <w:r>
              <w:t xml:space="preserve">{{ responsables.responsable_seguridad.cargo }}</w:t>
            </w:r>
          </w:p>
        </w:tc>
      </w:tr>
      <w:tr>
        <w:tc>
          <w:tcPr/>
          <w:p>
            <w:pPr>
              <w:pStyle w:val="Compact"/>
              <w:jc w:val="left"/>
            </w:pPr>
            <w:r>
              <w:t xml:space="preserve">Responsable del Sistema</w:t>
            </w:r>
          </w:p>
        </w:tc>
        <w:tc>
          <w:tcPr/>
          <w:p>
            <w:pPr>
              <w:pStyle w:val="Compact"/>
              <w:jc w:val="left"/>
            </w:pPr>
            <w:r>
              <w:t xml:space="preserve">{{ responsables.responsable_sistema.nombre }}</w:t>
            </w:r>
          </w:p>
        </w:tc>
        <w:tc>
          <w:tcPr/>
          <w:p>
            <w:pPr>
              <w:pStyle w:val="Compact"/>
              <w:jc w:val="left"/>
            </w:pPr>
            <w:r>
              <w:t xml:space="preserve">{{ responsables.responsable_sistema.cargo }}</w:t>
            </w:r>
          </w:p>
        </w:tc>
      </w:tr>
    </w:tbl>
    <w:bookmarkEnd w:id="35"/>
    <w:bookmarkEnd w:id="36"/>
    <w:bookmarkStart w:id="37" w:name="X9d64ca3d8962311d1590086c097c7858a542b11"/>
    <w:p>
      <w:pPr>
        <w:pStyle w:val="Heading2"/>
      </w:pPr>
      <w:r>
        <w:t xml:space="preserve">8. GESTIÓN DE LOS DATOS PERSONALES</w:t>
      </w:r>
    </w:p>
    <w:p>
      <w:pPr>
        <w:pStyle w:val="FirstParagraph"/>
      </w:pPr>
      <w:r>
        <w:t xml:space="preserve">Cuando los sistemas de información de la Entidad traten datos de carácter personal, se aplicarán las medidas de seguridad correspondientes al RGPD y a la LOPDGDD, de modo coordinado con las medidas del presente SGSI, conforme a lo dispuesto en el artículo 3 del ENS y en el documento {{ proyecto.codigo_documento_base }}-105 (Política de Privacidad y Protección de Datos Personales).</w:t>
      </w:r>
    </w:p>
    <w:p>
      <w:pPr>
        <w:pStyle w:val="BodyText"/>
      </w:pPr>
      <w:r>
        <w:t xml:space="preserve">La interlocución con la Agencia Española de Protección de Datos, así como las funciones propias del Delegado de Protección de Datos cuando este exista, corresponderán a {{ responsables.delegado_proteccion_datos.nombre }}, en su condición de {{ responsables.delegado_proteccion_datos.cargo }}.</w:t>
      </w:r>
    </w:p>
    <w:bookmarkEnd w:id="37"/>
    <w:bookmarkStart w:id="38" w:name="X0fb3ae4de4201781b03a2067049e0fe3879e053"/>
    <w:p>
      <w:pPr>
        <w:pStyle w:val="Heading2"/>
      </w:pPr>
      <w:r>
        <w:t xml:space="preserve">9. GESTIÓN DE EXCEPCIONES</w:t>
      </w:r>
    </w:p>
    <w:p>
      <w:pPr>
        <w:pStyle w:val="FirstParagraph"/>
      </w:pPr>
      <w:r>
        <w:t xml:space="preserve">Excepcionalmente, y siempre por causa debidamente justificada, podrá autorizarse el incumplimiento temporal o parcial de alguno de los requisitos establecidos en la normativa interna de seguridad. Toda excepción habrá de:</w:t>
      </w:r>
    </w:p>
    <w:p>
      <w:pPr>
        <w:pStyle w:val="BodyText"/>
      </w:pPr>
      <w:r>
        <w:t xml:space="preserve">a) Estar formalmente documentada y motivada.</w:t>
      </w:r>
    </w:p>
    <w:p>
      <w:pPr>
        <w:pStyle w:val="BodyText"/>
      </w:pPr>
      <w:r>
        <w:t xml:space="preserve">b) Identificar el riesgo asumido y, en su caso, las medidas compensatorias adoptadas.</w:t>
      </w:r>
    </w:p>
    <w:p>
      <w:pPr>
        <w:pStyle w:val="BodyText"/>
      </w:pPr>
      <w:r>
        <w:t xml:space="preserve">c) Ser autorizada por escrito por el Responsable de la Seguridad, previo informe favorable, cuando el riesgo asumido sea significativo, del Comité de Seguridad.</w:t>
      </w:r>
    </w:p>
    <w:p>
      <w:pPr>
        <w:pStyle w:val="BodyText"/>
      </w:pPr>
      <w:r>
        <w:t xml:space="preserve">d) Tener una vigencia temporal definida, no superior a doce meses, susceptible de prórroga motivada.</w:t>
      </w:r>
    </w:p>
    <w:p>
      <w:pPr>
        <w:pStyle w:val="BodyText"/>
      </w:pPr>
      <w:r>
        <w:t xml:space="preserve">e) Quedar registrada en el correspondiente Registro de Excepciones, gestionado por el Responsable de la Seguridad.</w:t>
      </w:r>
    </w:p>
    <w:bookmarkEnd w:id="38"/>
    <w:bookmarkStart w:id="39" w:name="X47b2c7f48ca49585b272c2090cfc9b6756bd495"/>
    <w:p>
      <w:pPr>
        <w:pStyle w:val="Heading2"/>
      </w:pPr>
      <w:r>
        <w:t xml:space="preserve">10. INCUMPLIMIENTO</w:t>
      </w:r>
    </w:p>
    <w:p>
      <w:pPr>
        <w:pStyle w:val="FirstParagraph"/>
      </w:pPr>
      <w:r>
        <w:t xml:space="preserve">El incumplimiento de la presente Política o de la normativa interna de seguridad que de ella se deriva podrá dar lugar a la apertura del correspondiente expediente disciplinario, conforme a lo previsto en la legislación laboral o administrativa aplicable y en el régimen disciplinario interno de la Entidad, sin perjuicio de las responsabilidades civiles, administrativas o penales en las que pudiera incurrirse.</w:t>
      </w:r>
    </w:p>
    <w:p>
      <w:pPr>
        <w:pStyle w:val="BodyText"/>
      </w:pPr>
      <w:r>
        <w:t xml:space="preserve">En el caso de personal externo, el incumplimiento podrá dar lugar a la resolución del contrato y a la exigencia de las responsabilidades contractuales que correspondan.</w:t>
      </w:r>
    </w:p>
    <w:bookmarkEnd w:id="39"/>
    <w:bookmarkStart w:id="40" w:name="X07e1cf4dc2d1995a39aaed3813391d3e07ff9c9"/>
    <w:p>
      <w:pPr>
        <w:pStyle w:val="Heading2"/>
      </w:pPr>
      <w:r>
        <w:t xml:space="preserve">11. COMUNICACIÓN, FORMACIÓN Y CONCIENCIACIÓN</w:t>
      </w:r>
    </w:p>
    <w:p>
      <w:pPr>
        <w:pStyle w:val="FirstParagraph"/>
      </w:pPr>
      <w:r>
        <w:t xml:space="preserve">La Entidad garantizará que la presente Política y la normativa interna de seguridad sean comunicadas, conocidas y comprendidas por todo el personal afectado por su ámbito de aplicación.</w:t>
      </w:r>
    </w:p>
    <w:p>
      <w:pPr>
        <w:pStyle w:val="BodyText"/>
      </w:pPr>
      <w:r>
        <w:t xml:space="preserve">A tal efecto:</w:t>
      </w:r>
    </w:p>
    <w:p>
      <w:pPr>
        <w:pStyle w:val="BodyText"/>
      </w:pPr>
      <w:r>
        <w:t xml:space="preserve">a) La Política será publicada en la intranet corporativa y, en su caso, en la sede electrónica de la Entidad.</w:t>
      </w:r>
    </w:p>
    <w:p>
      <w:pPr>
        <w:pStyle w:val="BodyText"/>
      </w:pPr>
      <w:r>
        <w:t xml:space="preserve">b) Se notificará individualmente al personal de nueva incorporación durante el proceso de acogida, requiriéndose su acuse de recibo.</w:t>
      </w:r>
    </w:p>
    <w:p>
      <w:pPr>
        <w:pStyle w:val="BodyText"/>
      </w:pPr>
      <w:r>
        <w:t xml:space="preserve">c) Se desarrollará un plan anual de formación y concienciación en seguridad de la información, dirigido a todo el personal según el rol que desempeñe.</w:t>
      </w:r>
    </w:p>
    <w:p>
      <w:pPr>
        <w:pStyle w:val="BodyText"/>
      </w:pPr>
      <w:r>
        <w:t xml:space="preserve">d) Se realizarán acciones específicas de concienciación tras la notificación de incidentes relevantes o la actualización significativa de la normativa interna.</w:t>
      </w:r>
    </w:p>
    <w:bookmarkEnd w:id="40"/>
    <w:bookmarkStart w:id="41" w:name="X89155b1faf6cae5741e6746a41706015fd0e80d"/>
    <w:p>
      <w:pPr>
        <w:pStyle w:val="Heading2"/>
      </w:pPr>
      <w:r>
        <w:t xml:space="preserve">12. REVISIÓN Y ACTUALIZACIÓN</w:t>
      </w:r>
    </w:p>
    <w:p>
      <w:pPr>
        <w:pStyle w:val="FirstParagraph"/>
      </w:pPr>
      <w:r>
        <w:t xml:space="preserve">La presente Política será revisada con carácter ordinario al menos una vez al año, y con carácter extraordinario cuando concurra alguna de las siguientes circunstancias:</w:t>
      </w:r>
    </w:p>
    <w:p>
      <w:pPr>
        <w:pStyle w:val="BodyText"/>
      </w:pPr>
      <w:r>
        <w:t xml:space="preserve">a) Modificaciones significativas en la normativa legal o reglamentaria aplicable.</w:t>
      </w:r>
    </w:p>
    <w:p>
      <w:pPr>
        <w:pStyle w:val="BodyText"/>
      </w:pPr>
      <w:r>
        <w:t xml:space="preserve">b) Cambios sustanciales en la estructura organizativa, en los servicios prestados o en los sistemas de información de la Entidad.</w:t>
      </w:r>
    </w:p>
    <w:p>
      <w:pPr>
        <w:pStyle w:val="BodyText"/>
      </w:pPr>
      <w:r>
        <w:t xml:space="preserve">c) Resultados del análisis de riesgos que evidencien la insuficiencia de los principios o requisitos establecidos.</w:t>
      </w:r>
    </w:p>
    <w:p>
      <w:pPr>
        <w:pStyle w:val="BodyText"/>
      </w:pPr>
      <w:r>
        <w:t xml:space="preserve">d) Incidentes de seguridad de impacto significativo cuyo análisis aconseje su revisión.</w:t>
      </w:r>
    </w:p>
    <w:p>
      <w:pPr>
        <w:pStyle w:val="BodyText"/>
      </w:pPr>
      <w:r>
        <w:t xml:space="preserve">e) Conclusiones de auditorías internas o externas que así lo recomienden.</w:t>
      </w:r>
    </w:p>
    <w:p>
      <w:pPr>
        <w:pStyle w:val="BodyText"/>
      </w:pPr>
      <w:r>
        <w:t xml:space="preserve">Las modificaciones serán propuestas por el Responsable de la Seguridad, revisadas por el Comité de Seguridad y aprobadas por {{ cliente.organo_aprobador_politicas }}.</w:t>
      </w:r>
    </w:p>
    <w:p>
      <w:pPr>
        <w:pStyle w:val="BodyText"/>
      </w:pPr>
      <w:r>
        <w:t xml:space="preserve">La próxima revisión ordinaria está prevista para el {{ proyecto.proxima_revision }}.</w:t>
      </w:r>
    </w:p>
    <w:bookmarkEnd w:id="41"/>
    <w:bookmarkStart w:id="42" w:name="X48253b1df1cce365b879cea55cf7ca09382d596"/>
    <w:p>
      <w:pPr>
        <w:pStyle w:val="Heading2"/>
      </w:pPr>
      <w:r>
        <w:t xml:space="preserve">13. ENTRADA EN VIGOR</w:t>
      </w:r>
    </w:p>
    <w:p>
      <w:pPr>
        <w:pStyle w:val="FirstParagraph"/>
      </w:pPr>
      <w:r>
        <w:t xml:space="preserve">La presente Política entrará en vigor el día siguiente al de su aprobación por {{ cliente.organo_aprobador_politicas }}, esto es, el día siguiente al {{ proyecto.fecha_aprobacion_inicial }}, y permanecerá vigente hasta su derogación, modificación o sustitución por una versión posterior debidamente aprobada.</w:t>
      </w:r>
    </w:p>
    <w:p>
      <w:r>
        <w:pict>
          <v:rect style="width:0;height:1.5pt" o:hralign="center" o:hrstd="t" o:hr="t"/>
        </w:pict>
      </w:r>
    </w:p>
    <w:p>
      <w:pPr>
        <w:pStyle w:val="FirstParagraph"/>
      </w:pPr>
      <w:r>
        <w:rPr>
          <w:bCs/>
          <w:b/>
        </w:rPr>
        <w:t xml:space="preserve">Aprobado por {{ cliente.organo_aprobador_politicas }}</w:t>
      </w:r>
      <w:r>
        <w:t xml:space="preserve"> </w:t>
      </w:r>
      <w:r>
        <w:t xml:space="preserve">en sesión celebrada el {{ proyecto.fecha_aprobacion_inicial }}.</w:t>
      </w:r>
    </w:p>
    <w:p>
      <w:pPr>
        <w:pStyle w:val="BodyText"/>
      </w:pPr>
      <w:r>
        <w:rPr>
          <w:bCs/>
          <w:b/>
        </w:rPr>
        <w:t xml:space="preserve">Documento {{ proyecto.codigo_documento_base }}-100 — Versión {{ proyecto.version_actual }} — Clasificación: INTERNA</w:t>
      </w:r>
    </w:p>
    <w:bookmarkEnd w:id="42"/>
    <w:bookmarkEnd w:id="43"/>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024"/>
      <w:gridCol w:w="3024"/>
      <w:gridCol w:w="3024"/>
    </w:tblGrid>
    <w:tr>
      <w:tc>
        <w:tcPr>
          <w:tcW w:type="dxa" w:w="3810"/>
        </w:tcPr>
        <w:p>
          <w:pPr>
            <w:jc w:val="left"/>
          </w:pPr>
          <w:r>
            <w:rPr>
              <w:b w:val="0"/>
              <w:color w:val="6B7280"/>
              <w:sz w:val="16"/>
            </w:rPr>
            <w:t>CONFIDENCIAL — {{ cliente.razon_social }}</w:t>
          </w:r>
        </w:p>
      </w:tc>
      <w:tc>
        <w:tcPr>
          <w:tcW w:type="dxa" w:w="2540"/>
        </w:tcPr>
        <w:p>
          <w:pPr>
            <w:jc w:val="center"/>
          </w:pPr>
          <w:r>
            <w:rPr>
              <w:b w:val="0"/>
              <w:color w:val="6B7280"/>
              <w:sz w:val="16"/>
            </w:rPr>
            <w:t>E-100 · v{{ proyecto.version_actual }}</w:t>
          </w:r>
        </w:p>
      </w:tc>
      <w:tc>
        <w:tcPr>
          <w:tcW w:type="dxa" w:w="2721"/>
        </w:tcPr>
        <w:p>
          <w:pPr>
            <w:jc w:val="right"/>
          </w:pPr>
          <w:r>
            <w:rPr>
              <w:b w:val="0"/>
              <w:color w:val="6B7280"/>
              <w:sz w:val="16"/>
            </w:rPr>
            <w:t xml:space="preserve">Página </w:t>
          </w:r>
          <w:r>
            <w:rPr>
              <w:b w:val="0"/>
              <w:color w:val="6B7280"/>
              <w:sz w:val="16"/>
            </w:rPr>
            <w:fldChar w:fldCharType="begin"/>
            <w:instrText xml:space="preserve">PAGE</w:instrText>
            <w:fldChar w:fldCharType="end"/>
          </w:r>
          <w:r>
            <w:rPr>
              <w:b w:val="0"/>
              <w:color w:val="6B7280"/>
              <w:sz w:val="16"/>
            </w:rPr>
            <w:t xml:space="preserve"> / </w:t>
          </w:r>
          <w:r>
            <w:rPr>
              <w:b w:val="0"/>
              <w:color w:val="6B7280"/>
              <w:sz w:val="16"/>
            </w:rPr>
            <w:fldChar w:fldCharType="begin"/>
            <w:instrText xml:space="preserve">NUMPAGES</w:instrText>
            <w:fldChar w:fldCharType="end"/>
          </w:r>
        </w:p>
      </w:tc>
    </w:tr>
  </w:tbl>
  <w:p>
    <w:r>
      <w:rPr>
        <w:sz w:val="2"/>
      </w:rPr>
      <w:t>&lt;!--FX_FTR_V2--&gt;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024"/>
      <w:gridCol w:w="3024"/>
      <w:gridCol w:w="3024"/>
    </w:tblGrid>
    <w:tr>
      <w:tc>
        <w:tcPr>
          <w:tcW w:type="dxa" w:w="3447"/>
        </w:tcPr>
        <w:p>
          <w:pPr>
            <w:jc w:val="left"/>
          </w:pPr>
          <w:r>
            <w:rPr>
              <w:b/>
              <w:color w:val="0B1F3A"/>
              <w:sz w:val="22"/>
            </w:rPr>
            <w:t>{{ cliente.header_brand }}</w:t>
          </w:r>
        </w:p>
      </w:tc>
      <w:tc>
        <w:tcPr>
          <w:tcW w:type="dxa" w:w="3084"/>
        </w:tcPr>
        <w:p>
          <w:pPr>
            <w:jc w:val="center"/>
          </w:pPr>
          <w:r>
            <w:rPr>
              <w:b w:val="0"/>
              <w:color w:val="6B7280"/>
              <w:sz w:val="18"/>
            </w:rPr>
            <w:t>E-100 · Política de Seguridad</w:t>
            <w:br/>
            <w:t>versión {{ proyecto.version_actual }}</w:t>
          </w:r>
        </w:p>
      </w:tc>
      <w:tc>
        <w:tcPr>
          <w:tcW w:type="dxa" w:w="2540"/>
        </w:tcPr>
        <w:p>
          <w:pPr>
            <w:jc w:val="right"/>
          </w:pPr>
          <w:r>
            <w:rPr>
              <w:b w:val="0"/>
              <w:color w:val="0B1F3A"/>
              <w:sz w:val="18"/>
            </w:rPr>
            <w:t>{{ consultor.header_brand }}</w:t>
          </w:r>
        </w:p>
      </w:tc>
    </w:tr>
  </w:tbl>
  <w:p>
    <w:r>
      <w:rPr>
        <w:sz w:val="2"/>
      </w:rPr>
      <w:t>&lt;!--FX_HDR_V2--&gt;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2026-06-11T23:46:29Z</dcterms:created>
  <dcterms:modified xsi:type="dcterms:W3CDTF">2026-06-11T23:46:29Z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robado_por">
    <vt:lpwstr>{{ cliente.organo_aprobador_politicas }}</vt:lpwstr>
  </property>
  <property fmtid="{D5CDD505-2E9C-101B-9397-08002B2CF9AE}" pid="3" name="clasificacion">
    <vt:lpwstr>INTERNA</vt:lpwstr>
  </property>
  <property fmtid="{D5CDD505-2E9C-101B-9397-08002B2CF9AE}" pid="4" name="codigo_documento">
    <vt:lpwstr>{{ proyecto.codigo_documento_base }}-100</vt:lpwstr>
  </property>
  <property fmtid="{D5CDD505-2E9C-101B-9397-08002B2CF9AE}" pid="5" name="fecha_aprobacion">
    <vt:lpwstr>{{ proyecto.fecha_aprobacion_inicial }}</vt:lpwstr>
  </property>
  <property fmtid="{D5CDD505-2E9C-101B-9397-08002B2CF9AE}" pid="6" name="fecha_proxima_revision">
    <vt:lpwstr>{{ proyecto.proxima_revision }}</vt:lpwstr>
  </property>
  <property fmtid="{D5CDD505-2E9C-101B-9397-08002B2CF9AE}" pid="7" name="propietario">
    <vt:lpwstr>{{ responsables.responsable_seguridad.cargo }}</vt:lpwstr>
  </property>
  <property fmtid="{D5CDD505-2E9C-101B-9397-08002B2CF9AE}" pid="8" name="titulo">
    <vt:lpwstr>Política de Seguridad de la Información</vt:lpwstr>
  </property>
  <property fmtid="{D5CDD505-2E9C-101B-9397-08002B2CF9AE}" pid="9" name="version">
    <vt:lpwstr>{{ proyecto.version_actual }}</vt:lpwstr>
  </property>
</Properties>
</file>