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9bca52e3eb2120d9a64f047d4f36e083069473"/>
    <w:p>
      <w:pPr>
        <w:pStyle w:val="Heading1"/>
      </w:pPr>
      <w:r>
        <w:t xml:space="preserve">POLÍTICA DE RESPUESTA A BRECHAS DE DATOS PERSONALES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}}-119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marco-normativo"/>
    <w:p>
      <w:pPr>
        <w:pStyle w:val="Heading2"/>
      </w:pPr>
      <w:r>
        <w:t xml:space="preserve">MARCO NORMATIVO</w:t>
      </w:r>
    </w:p>
    <w:p>
      <w:pPr>
        <w:pStyle w:val="FirstParagraph"/>
      </w:pPr>
      <w:r>
        <w:t xml:space="preserve">Esta política se desarrolla en cumplimiento conjunto del</w:t>
      </w:r>
      <w:r>
        <w:t xml:space="preserve"> </w:t>
      </w:r>
      <w:r>
        <w:rPr>
          <w:bCs/>
          <w:b/>
        </w:rPr>
        <w:t xml:space="preserve">Real Decreto 311/2022</w:t>
      </w:r>
      <w:r>
        <w:t xml:space="preserve">, de 3 de mayo, por el que se regula el Esquema Nacional de Seguridad (ENS), y del</w:t>
      </w:r>
      <w:r>
        <w:t xml:space="preserve"> </w:t>
      </w:r>
      <w:r>
        <w:rPr>
          <w:bCs/>
          <w:b/>
        </w:rPr>
        <w:t xml:space="preserve">Reglamento (UE) 2016/679 (RGPD)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LO 3/2018 LOPDGDD</w:t>
      </w:r>
      <w:r>
        <w:t xml:space="preserve">.</w:t>
      </w:r>
    </w:p>
    <w:p>
      <w:pPr>
        <w:pStyle w:val="BodyText"/>
      </w:pPr>
      <w:r>
        <w:t xml:space="preserve">Del Anexo II del RD 311/2022 (ENS) materializa: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op.exp.7</w:t>
      </w:r>
      <w:r>
        <w:t xml:space="preserve"> </w:t>
      </w:r>
      <w:r>
        <w:t xml:space="preserve">— Gestión de incidentes (específicamente brechas con impacto en datos personales).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mp.info.2</w:t>
      </w:r>
      <w:r>
        <w:t xml:space="preserve"> </w:t>
      </w:r>
      <w:r>
        <w:t xml:space="preserve">— Calificación de la información (datos personales como categoría reforzada).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mp.si.2</w:t>
      </w:r>
      <w:r>
        <w:t xml:space="preserve"> </w:t>
      </w:r>
      <w:r>
        <w:t xml:space="preserve">— Criptografía (cifrado de la información como control compensatorio relevante para mitigar el impacto de una brecha).</w:t>
      </w:r>
    </w:p>
    <w:p>
      <w:pPr>
        <w:pStyle w:val="FirstParagraph"/>
      </w:pPr>
      <w:r>
        <w:t xml:space="preserve">Del marco de protección de datos materializa: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Artículo 33 RGPD</w:t>
      </w:r>
      <w:r>
        <w:t xml:space="preserve"> </w:t>
      </w:r>
      <w:r>
        <w:t xml:space="preserve">— Notificación a la autoridad de control (AEPD) en plazo máximo de 72 horas desde conocimiento de la brecha.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Artículo 34 RGPD</w:t>
      </w:r>
      <w:r>
        <w:t xml:space="preserve"> </w:t>
      </w:r>
      <w:r>
        <w:t xml:space="preserve">— Comunicación de la brecha al interesado cuando entrañe alto riesgo.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Artículo 5 LOPDGDD</w:t>
      </w:r>
      <w:r>
        <w:t xml:space="preserve"> </w:t>
      </w:r>
      <w:r>
        <w:t xml:space="preserve">— Deber de confidencialidad durante y después de la brecha.</w:t>
      </w:r>
    </w:p>
    <w:p>
      <w:pPr>
        <w:pStyle w:val="FirstParagraph"/>
      </w:pPr>
      <w:r>
        <w:t xml:space="preserve">Se alinea con la</w:t>
      </w:r>
      <w:r>
        <w:t xml:space="preserve"> </w:t>
      </w:r>
      <w:r>
        <w:rPr>
          <w:iCs/>
          <w:i/>
        </w:rPr>
        <w:t xml:space="preserve">Guía de la AEPD para la notificación de brechas de datos personales</w:t>
      </w:r>
      <w:r>
        <w:t xml:space="preserve"> </w:t>
      </w:r>
      <w:r>
        <w:t xml:space="preserve">(edición vigente) y con la</w:t>
      </w:r>
      <w:r>
        <w:t xml:space="preserve"> </w:t>
      </w:r>
      <w:r>
        <w:rPr>
          <w:iCs/>
          <w:i/>
        </w:rPr>
        <w:t xml:space="preserve">Guía CCN-STIC 817</w:t>
      </w:r>
      <w:r>
        <w:t xml:space="preserve"> </w:t>
      </w:r>
      <w:r>
        <w:t xml:space="preserve">sobre gestión de ciberincidentes del ENS. Complementa la Política Maestra ({{ proyecto.codigo_documento_base }}-100) y la Política de Gestión de Incidentes ({{ proyecto.codigo_documento_base }}-108) en lo específico de brechas que afecten a datos personales.</w:t>
      </w:r>
    </w:p>
    <w:p>
      <w:r>
        <w:pict>
          <v:rect style="width:0;height:1.5pt" o:hralign="center" o:hrstd="t" o:hr="t"/>
        </w:pict>
      </w:r>
    </w:p>
    <w:bookmarkEnd w:id="20"/>
    <w:bookmarkStart w:id="21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marco de actuación de {{ cliente.razon_social }} ante las brechas de seguridad que afecten a datos personales, garantizando la detección, valoración, contención, notificación a las autoridades y comunicación a los interesados afectados en los plazos y con los contenidos exigidos por los artículos 33 y 34 del Reglamento (UE) 2016/679 (RGPD).</w:t>
      </w:r>
    </w:p>
    <w:bookmarkEnd w:id="21"/>
    <w:bookmarkStart w:id="22" w:name="X51fc9e2fe85da310c94ec329abbff7bf810985c"/>
    <w:p>
      <w:pPr>
        <w:pStyle w:val="Heading2"/>
      </w:pPr>
      <w:r>
        <w:t xml:space="preserve">2. DEFINICIÓN</w:t>
      </w:r>
    </w:p>
    <w:p>
      <w:pPr>
        <w:pStyle w:val="FirstParagraph"/>
      </w:pPr>
      <w:r>
        <w:t xml:space="preserve">Se entiende por</w:t>
      </w:r>
      <w:r>
        <w:t xml:space="preserve"> </w:t>
      </w:r>
      <w:r>
        <w:rPr>
          <w:bCs/>
          <w:b/>
        </w:rPr>
        <w:t xml:space="preserve">brecha de seguridad de datos personales</w:t>
      </w:r>
      <w:r>
        <w:t xml:space="preserve"> </w:t>
      </w:r>
      <w:r>
        <w:t xml:space="preserve">toda violación de la seguridad que ocasione la destrucción, pérdida o alteración accidental o ilícita de datos personales transmitidos, conservados o tratados de otra forma, o la comunicación o acceso no autorizados a dichos datos (artículo 4.12 RGPD).</w:t>
      </w:r>
    </w:p>
    <w:p>
      <w:pPr>
        <w:pStyle w:val="BodyText"/>
      </w:pPr>
      <w:r>
        <w:t xml:space="preserve">Las brechas se clasifican en tres tipos, que pueden concurrir simultáneamente: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Brecha de confidencialidad</w:t>
      </w:r>
      <w:r>
        <w:t xml:space="preserve">: acceso no autorizado o divulgación de datos personales.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Brecha de integridad</w:t>
      </w:r>
      <w:r>
        <w:t xml:space="preserve">: alteración no autorizada de datos personales.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Brecha de disponibilidad</w:t>
      </w:r>
      <w:r>
        <w:t xml:space="preserve">: pérdida de acceso o destrucción de datos personales.</w:t>
      </w:r>
    </w:p>
    <w:bookmarkEnd w:id="22"/>
    <w:bookmarkStart w:id="25" w:name="X9ac3f1caaab2cd4b3e30c4031569e37494a74e9"/>
    <w:p>
      <w:pPr>
        <w:pStyle w:val="Heading2"/>
      </w:pPr>
      <w:r>
        <w:t xml:space="preserve">3. DETECCIÓN Y VALORACIÓN INICIAL</w:t>
      </w:r>
    </w:p>
    <w:bookmarkStart w:id="23" w:name="X78c563f18cc0e8a02d100bb3b818ca082a3e727"/>
    <w:p>
      <w:pPr>
        <w:pStyle w:val="Heading3"/>
      </w:pPr>
      <w:r>
        <w:t xml:space="preserve">3.1 Detección</w:t>
      </w:r>
    </w:p>
    <w:p>
      <w:pPr>
        <w:pStyle w:val="FirstParagraph"/>
      </w:pPr>
      <w:r>
        <w:t xml:space="preserve">Toda brecha de datos personales se detectará a través de los mecanismos previstos en la Política de Gestión de Incidentes ({{ proyecto.codigo_documento_base }}-108) y en el procedimiento de incidentes ({{ proyecto.codigo_documento_base }}-204).</w:t>
      </w:r>
    </w:p>
    <w:bookmarkEnd w:id="23"/>
    <w:bookmarkStart w:id="24" w:name="X0c11a16a80034c28f8d34114351e284607aeff4"/>
    <w:p>
      <w:pPr>
        <w:pStyle w:val="Heading3"/>
      </w:pPr>
      <w:r>
        <w:t xml:space="preserve">3.2 Valoración del riesgo para los derechos y libertades</w:t>
      </w:r>
    </w:p>
    <w:p>
      <w:pPr>
        <w:pStyle w:val="FirstParagraph"/>
      </w:pPr>
      <w:r>
        <w:t xml:space="preserve">Tan pronto como se confirme que un incidente afecta a datos personales, el Responsable de la Seguridad, en coordinación con el DPO, realizará una</w:t>
      </w:r>
      <w:r>
        <w:t xml:space="preserve"> </w:t>
      </w:r>
      <w:r>
        <w:rPr>
          <w:bCs/>
          <w:b/>
        </w:rPr>
        <w:t xml:space="preserve">valoración del nivel de riesgo</w:t>
      </w:r>
      <w:r>
        <w:t xml:space="preserve"> </w:t>
      </w:r>
      <w:r>
        <w:t xml:space="preserve">para los derechos y libertades de las personas afectadas, considerando:</w:t>
      </w:r>
    </w:p>
    <w:p>
      <w:pPr>
        <w:pStyle w:val="BodyText"/>
      </w:pPr>
      <w:r>
        <w:t xml:space="preserve">a) Naturaleza, sensibilidad y volumen de los datos afectados.</w:t>
      </w:r>
    </w:p>
    <w:p>
      <w:pPr>
        <w:pStyle w:val="BodyText"/>
      </w:pPr>
      <w:r>
        <w:t xml:space="preserve">b) Facilidad de identificación de los interesados.</w:t>
      </w:r>
    </w:p>
    <w:p>
      <w:pPr>
        <w:pStyle w:val="BodyText"/>
      </w:pPr>
      <w:r>
        <w:t xml:space="preserve">c) Gravedad de las consecuencias para los afectados.</w:t>
      </w:r>
    </w:p>
    <w:p>
      <w:pPr>
        <w:pStyle w:val="BodyText"/>
      </w:pPr>
      <w:r>
        <w:t xml:space="preserve">d) Características especiales de los interesados (menores, personas vulnerables).</w:t>
      </w:r>
    </w:p>
    <w:p>
      <w:pPr>
        <w:pStyle w:val="BodyText"/>
      </w:pPr>
      <w:r>
        <w:t xml:space="preserve">e) Número de personas afectadas.</w:t>
      </w:r>
    </w:p>
    <w:p>
      <w:pPr>
        <w:pStyle w:val="BodyText"/>
      </w:pPr>
      <w:r>
        <w:t xml:space="preserve">f) Características especiales del responsable del tratamiento.</w:t>
      </w:r>
    </w:p>
    <w:p>
      <w:pPr>
        <w:pStyle w:val="BodyText"/>
      </w:pPr>
      <w:r>
        <w:t xml:space="preserve">El resultado de la valoración determinará las obligaciones de notificación: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a la AEPD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a los interesados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 bajo/medio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en 72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(salvo que la AEPD lo requiera)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en 72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sin dilación indebida</w:t>
            </w:r>
          </w:p>
        </w:tc>
      </w:tr>
    </w:tbl>
    <w:bookmarkEnd w:id="24"/>
    <w:bookmarkEnd w:id="25"/>
    <w:bookmarkStart w:id="30" w:name="X5e85f399ea7aa8ad371ae7368f1b95cc33ebc74"/>
    <w:p>
      <w:pPr>
        <w:pStyle w:val="Heading2"/>
      </w:pPr>
      <w:r>
        <w:t xml:space="preserve">4. NOTIFICACIÓN A LA AEPD</w:t>
      </w:r>
    </w:p>
    <w:bookmarkStart w:id="26" w:name="X9893e1f6dbd896c8659446dab13972f1231debc"/>
    <w:p>
      <w:pPr>
        <w:pStyle w:val="Heading3"/>
      </w:pPr>
      <w:r>
        <w:t xml:space="preserve">4.1 Plazo</w:t>
      </w:r>
    </w:p>
    <w:p>
      <w:pPr>
        <w:pStyle w:val="FirstParagraph"/>
      </w:pPr>
      <w:r>
        <w:t xml:space="preserve">Cuando la brecha entrañe riesgo para los derechos y libertades de las personas, la Entidad notificará a la Agencia Española de Protección de Datos en el plazo máximo de</w:t>
      </w:r>
      <w:r>
        <w:t xml:space="preserve"> </w:t>
      </w:r>
      <w:r>
        <w:rPr>
          <w:bCs/>
          <w:b/>
        </w:rPr>
        <w:t xml:space="preserve">72 horas</w:t>
      </w:r>
      <w:r>
        <w:t xml:space="preserve"> </w:t>
      </w:r>
      <w:r>
        <w:t xml:space="preserve">desde que tenga conocimiento de ella, conforme al artículo 33 del RGPD.</w:t>
      </w:r>
    </w:p>
    <w:p>
      <w:pPr>
        <w:pStyle w:val="BodyText"/>
      </w:pPr>
      <w:r>
        <w:t xml:space="preserve">Si la notificación no es posible en 72 horas, se acompañará de los motivos del retraso.</w:t>
      </w:r>
    </w:p>
    <w:bookmarkEnd w:id="26"/>
    <w:bookmarkStart w:id="28" w:name="X4f1d4d37e7b315fdf453892b77fd900d73c144c"/>
    <w:p>
      <w:pPr>
        <w:pStyle w:val="Heading3"/>
      </w:pPr>
      <w:r>
        <w:t xml:space="preserve">4.2 Canal y contenido</w:t>
      </w:r>
    </w:p>
    <w:p>
      <w:pPr>
        <w:pStyle w:val="FirstParagraph"/>
      </w:pPr>
      <w:r>
        <w:t xml:space="preserve">La notificación se realizará a través del</w:t>
      </w:r>
      <w:r>
        <w:t xml:space="preserve"> </w:t>
      </w:r>
      <w:r>
        <w:rPr>
          <w:bCs/>
          <w:b/>
        </w:rPr>
        <w:t xml:space="preserve">formulario electrónico de la sede electrónica de la AEPD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https://sedeaepd.gob.es</w:t>
        </w:r>
      </w:hyperlink>
      <w:r>
        <w:t xml:space="preserve">) y contendrá, como mínimo:</w:t>
      </w:r>
    </w:p>
    <w:p>
      <w:pPr>
        <w:pStyle w:val="BodyText"/>
      </w:pPr>
      <w:r>
        <w:t xml:space="preserve">a) Naturaleza de la brecha, categorías y número aproximado de interesados y registros afectados.</w:t>
      </w:r>
    </w:p>
    <w:p>
      <w:pPr>
        <w:pStyle w:val="BodyText"/>
      </w:pPr>
      <w:r>
        <w:t xml:space="preserve">b) Datos de contacto del DPO o punto de contacto.</w:t>
      </w:r>
    </w:p>
    <w:p>
      <w:pPr>
        <w:pStyle w:val="BodyText"/>
      </w:pPr>
      <w:r>
        <w:t xml:space="preserve">c) Consecuencias probables de la brecha.</w:t>
      </w:r>
    </w:p>
    <w:p>
      <w:pPr>
        <w:pStyle w:val="BodyText"/>
      </w:pPr>
      <w:r>
        <w:t xml:space="preserve">d) Medidas adoptadas o propuestas para remediar la brecha y mitigar sus efectos.</w:t>
      </w:r>
    </w:p>
    <w:bookmarkEnd w:id="28"/>
    <w:bookmarkStart w:id="29" w:name="Xd3bcbd067ce4fbdd9de5bbd5e31ab91eab79128"/>
    <w:p>
      <w:pPr>
        <w:pStyle w:val="Heading3"/>
      </w:pPr>
      <w:r>
        <w:t xml:space="preserve">4.3 Responsable de la notificación</w:t>
      </w:r>
    </w:p>
    <w:p>
      <w:pPr>
        <w:pStyle w:val="FirstParagraph"/>
      </w:pPr>
      <w:r>
        <w:t xml:space="preserve">La interlocución con la AEPD corresponde al DPO ({{ responsables.delegado_proteccion_datos.nombre }}), en coordinación con el Responsable de la Seguridad.</w:t>
      </w:r>
    </w:p>
    <w:bookmarkEnd w:id="29"/>
    <w:bookmarkEnd w:id="30"/>
    <w:bookmarkStart w:id="31" w:name="Xd1641d0353b53f092abbab96136886c53d672a2"/>
    <w:p>
      <w:pPr>
        <w:pStyle w:val="Heading2"/>
      </w:pPr>
      <w:r>
        <w:t xml:space="preserve">5. COMUNICACIÓN A LOS INTERESADOS</w:t>
      </w:r>
    </w:p>
    <w:p>
      <w:pPr>
        <w:pStyle w:val="FirstParagraph"/>
      </w:pPr>
      <w:r>
        <w:t xml:space="preserve">Cuando la brecha entrañe</w:t>
      </w:r>
      <w:r>
        <w:t xml:space="preserve"> </w:t>
      </w:r>
      <w:r>
        <w:rPr>
          <w:bCs/>
          <w:b/>
        </w:rPr>
        <w:t xml:space="preserve">riesgo alto</w:t>
      </w:r>
      <w:r>
        <w:t xml:space="preserve"> </w:t>
      </w:r>
      <w:r>
        <w:t xml:space="preserve">para los derechos y libertades de las personas físicas, se comunicará a los interesados afectados</w:t>
      </w:r>
      <w:r>
        <w:t xml:space="preserve"> </w:t>
      </w:r>
      <w:r>
        <w:rPr>
          <w:bCs/>
          <w:b/>
        </w:rPr>
        <w:t xml:space="preserve">sin dilación indebida</w:t>
      </w:r>
      <w:r>
        <w:t xml:space="preserve">, conforme al artículo 34 del RGPD, utilizando un lenguaje claro y sencillo, e informando al menos de:</w:t>
      </w:r>
    </w:p>
    <w:p>
      <w:pPr>
        <w:pStyle w:val="BodyText"/>
      </w:pPr>
      <w:r>
        <w:t xml:space="preserve">a) La naturaleza de la brecha.</w:t>
      </w:r>
    </w:p>
    <w:p>
      <w:pPr>
        <w:pStyle w:val="BodyText"/>
      </w:pPr>
      <w:r>
        <w:t xml:space="preserve">b) Las recomendaciones dirigidas al interesado para mitigar los posibles efectos adversos (cambio de contraseñas, vigilancia de cuentas, etc.).</w:t>
      </w:r>
    </w:p>
    <w:p>
      <w:pPr>
        <w:pStyle w:val="BodyText"/>
      </w:pPr>
      <w:r>
        <w:t xml:space="preserve">c) Los datos de contacto del DPO.</w:t>
      </w:r>
    </w:p>
    <w:p>
      <w:pPr>
        <w:pStyle w:val="BodyText"/>
      </w:pPr>
      <w:r>
        <w:t xml:space="preserve">d) Las medidas adoptadas por la Entidad.</w:t>
      </w:r>
    </w:p>
    <w:p>
      <w:pPr>
        <w:pStyle w:val="BodyText"/>
      </w:pPr>
      <w:r>
        <w:t xml:space="preserve">No será necesaria la comunicación individual cuando la Entidad haya adoptado medidas que hagan ininteligibles los datos para cualquier persona no autorizada (cifrado) o haya tomado medidas posteriores que garanticen que ya no es probable que se materialice el riesgo alto.</w:t>
      </w:r>
    </w:p>
    <w:bookmarkEnd w:id="31"/>
    <w:bookmarkStart w:id="32" w:name="X7af0a4aae0a48eaea2e7004c771c6a70038bb74"/>
    <w:p>
      <w:pPr>
        <w:pStyle w:val="Heading2"/>
      </w:pPr>
      <w:r>
        <w:t xml:space="preserve">6. REGISTRO</w:t>
      </w:r>
    </w:p>
    <w:p>
      <w:pPr>
        <w:pStyle w:val="FirstParagraph"/>
      </w:pPr>
      <w:r>
        <w:t xml:space="preserve">Toda brecha, con independencia de su nivel de riesgo, quedará registrada en el</w:t>
      </w:r>
      <w:r>
        <w:t xml:space="preserve"> </w:t>
      </w:r>
      <w:r>
        <w:rPr>
          <w:bCs/>
          <w:b/>
        </w:rPr>
        <w:t xml:space="preserve">Registro de Brechas de Datos Personales</w:t>
      </w:r>
      <w:r>
        <w:t xml:space="preserve">, mantenido por el DPO, que documentará: hechos, efectos, medidas correctivas adoptadas y decisiones de notificación/comunicación con su justificación.</w:t>
      </w:r>
    </w:p>
    <w:bookmarkEnd w:id="32"/>
    <w:bookmarkStart w:id="33" w:name="X43aeacd0d56162332dd263dc369986095daf667"/>
    <w:p>
      <w:pPr>
        <w:pStyle w:val="Heading2"/>
      </w:pPr>
      <w:r>
        <w:t xml:space="preserve">7. APROBACIÓN, REVISIÓN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}}-119 — Versión {{ proyecto.version_actual }} — Clasificación: INTERNA</w:t>
      </w:r>
    </w:p>
    <w:bookmarkEnd w:id="33"/>
    <w:bookmarkEnd w:id="3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E-119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E-119 · Documento E-119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hyperlink" Target="https://sedeaepd.gob.es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sedeaepd.gob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2026-06-11T23:44:31Z</dcterms:created>
  <dcterms:modified xsi:type="dcterms:W3CDTF">2026-06-11T23:44:31Z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}}-119</vt:lpwstr>
  </property>
  <property fmtid="{D5CDD505-2E9C-101B-9397-08002B2CF9AE}" pid="5" name="fecha_aprobacion">
    <vt:lpwstr>{{ proyecto.fecha_aprobacion_inicial }}</vt:lpwstr>
  </property>
  <property fmtid="{D5CDD505-2E9C-101B-9397-08002B2CF9AE}" pid="6" name="propietario">
    <vt:lpwstr>{{ responsables.responsable_seguridad.cargo }}</vt:lpwstr>
  </property>
  <property fmtid="{D5CDD505-2E9C-101B-9397-08002B2CF9AE}" pid="7" name="titulo">
    <vt:lpwstr>Política de Respuesta a Brechas de Datos Personales</vt:lpwstr>
  </property>
  <property fmtid="{D5CDD505-2E9C-101B-9397-08002B2CF9AE}" pid="8" name="version">
    <vt:lpwstr>{{ proyecto.version_actual }}</vt:lpwstr>
  </property>
</Properties>
</file>