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2028d89e2c73861be3be7e6349f0f7a0d74d5e"/>
    <w:p>
      <w:pPr>
        <w:pStyle w:val="Heading1"/>
      </w:pPr>
      <w:r>
        <w:t xml:space="preserve">DOCUMENTO E-222 — PROCEDIMIENTO DE GESTIÓN DE EXCEPCIONES</w:t>
      </w:r>
    </w:p>
    <w:p>
      <w:pPr>
        <w:pStyle w:val="FirstParagraph"/>
      </w:pPr>
      <w:r>
        <w:rPr>
          <w:bCs/>
          <w:b/>
        </w:rPr>
        <w:t xml:space="preserve">Es el procedimiento operativo que canaliza las desviaciones temporales respecto a la normativa interna del SGSI.</w:t>
      </w:r>
      <w:r>
        <w:t xml:space="preserve"> </w:t>
      </w:r>
      <w:r>
        <w:t xml:space="preserve">Asegura que toda excepción se solicita, evalúa, autoriza, registra, controla y caduca, evitando que las desviaciones se conviertan en debilidades permanentes.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codigo_documento: "{{ proyecto.codigo_documento_base }}-222"</w:t>
      </w:r>
      <w:r>
        <w:br/>
      </w:r>
      <w:r>
        <w:rPr>
          <w:rStyle w:val="VerbatimChar"/>
        </w:rPr>
        <w:t xml:space="preserve">titulo: "Procedimiento de Gestión de Excepciones"</w:t>
      </w:r>
      <w:r>
        <w:br/>
      </w:r>
      <w:r>
        <w:rPr>
          <w:rStyle w:val="VerbatimChar"/>
        </w:rPr>
        <w:t xml:space="preserve">version: "{{ proyecto.version_actual }}"</w:t>
      </w:r>
      <w:r>
        <w:br/>
      </w:r>
      <w:r>
        <w:rPr>
          <w:rStyle w:val="VerbatimChar"/>
        </w:rPr>
        <w:t xml:space="preserve">fecha_aprobacion: "{{ proyecto.fecha_aprobacion_inicial }}"</w:t>
      </w:r>
      <w:r>
        <w:br/>
      </w:r>
      <w:r>
        <w:rPr>
          <w:rStyle w:val="VerbatimChar"/>
        </w:rPr>
        <w:t xml:space="preserve">fecha_proxima_revision: "{{ proyecto.proxima_revision }}"</w:t>
      </w:r>
      <w:r>
        <w:br/>
      </w:r>
      <w:r>
        <w:rPr>
          <w:rStyle w:val="VerbatimChar"/>
        </w:rPr>
        <w:t xml:space="preserve">clasificacion: "INTERNA"</w:t>
      </w:r>
      <w:r>
        <w:br/>
      </w:r>
      <w:r>
        <w:rPr>
          <w:rStyle w:val="VerbatimChar"/>
        </w:rPr>
        <w:t xml:space="preserve">propietario: "{{ responsables.responsable_seguridad.cargo }}"</w:t>
      </w:r>
      <w:r>
        <w:br/>
      </w:r>
      <w:r>
        <w:rPr>
          <w:rStyle w:val="VerbatimChar"/>
        </w:rPr>
        <w:t xml:space="preserve">politica_madre: "{{ proyecto.codigo_documento_base }}-100"</w:t>
      </w:r>
      <w:r>
        <w:br/>
      </w:r>
      <w:r>
        <w:rPr>
          <w:rStyle w:val="VerbatimChar"/>
        </w:rPr>
        <w:t xml:space="preserve">medidas_ens: ["org.4"]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PROCEDIMIENTO DE GESTIÓN DE EXCEPCIONES DE {{ cliente.razon_social | upper }}</w:t>
      </w:r>
      <w:r>
        <w:br/>
      </w:r>
      <w:r>
        <w:br/>
      </w:r>
      <w:r>
        <w:rPr>
          <w:rStyle w:val="VerbatimChar"/>
        </w:rPr>
        <w:t xml:space="preserve">**Documento {{ proyecto.codigo_documento_base }}-222 — Versión {{ proyecto.version_actual }}**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1. OBJETO</w:t>
      </w:r>
      <w:r>
        <w:br/>
      </w:r>
      <w:r>
        <w:br/>
      </w:r>
      <w:r>
        <w:rPr>
          <w:rStyle w:val="VerbatimChar"/>
        </w:rPr>
        <w:t xml:space="preserve">Establecer el cauce formal para tramitar excepciones —desviaciones temporales y autorizadas— a las políticas, procedimientos y configuraciones de seguridad del SGSI de {{ cliente.razon_social }}, garantizando que cualquier desviación está justificada, valorada en términos de riesgo, autorizada por el órgano competente, sometida a controles compensatorios y limitada en el tiempo.</w:t>
      </w:r>
      <w:r>
        <w:br/>
      </w:r>
      <w:r>
        <w:br/>
      </w:r>
      <w:r>
        <w:rPr>
          <w:rStyle w:val="VerbatimChar"/>
        </w:rPr>
        <w:t xml:space="preserve">Este procedimiento desarrolla la medida **org.4 (proceso de autorización)** del Anexo II del Real Decreto 311/2022, conforme a los requisitos del propio Anexo II y a la guía **CCN-STIC 804 (valoración de sistemas en el ENS)**.</w:t>
      </w:r>
      <w:r>
        <w:br/>
      </w:r>
      <w:r>
        <w:br/>
      </w:r>
      <w:r>
        <w:rPr>
          <w:rStyle w:val="VerbatimChar"/>
        </w:rPr>
        <w:t xml:space="preserve">## 2. ALCANCE</w:t>
      </w:r>
      <w:r>
        <w:br/>
      </w:r>
      <w:r>
        <w:br/>
      </w:r>
      <w:r>
        <w:rPr>
          <w:rStyle w:val="VerbatimChar"/>
        </w:rPr>
        <w:t xml:space="preserve">Aplica a toda desviación respecto a:</w:t>
      </w:r>
      <w:r>
        <w:br/>
      </w:r>
      <w:r>
        <w:br/>
      </w:r>
      <w:r>
        <w:rPr>
          <w:rStyle w:val="VerbatimChar"/>
        </w:rPr>
        <w:t xml:space="preserve">- Políticas del SGSI ({{ proyecto.codigo_documento_base }}-100 a {{ proyecto.codigo_documento_base }}-126).</w:t>
      </w:r>
      <w:r>
        <w:br/>
      </w:r>
      <w:r>
        <w:rPr>
          <w:rStyle w:val="VerbatimChar"/>
        </w:rPr>
        <w:t xml:space="preserve">- Procedimientos del SGSI ({{ proyecto.codigo_documento_base }}-200 a {{ proyecto.codigo_documento_base }}-234).</w:t>
      </w:r>
      <w:r>
        <w:br/>
      </w:r>
      <w:r>
        <w:rPr>
          <w:rStyle w:val="VerbatimChar"/>
        </w:rPr>
        <w:t xml:space="preserve">- Configuraciones de baseline de hardening ({{ proyecto.codigo_documento_base }}-230).</w:t>
      </w:r>
      <w:r>
        <w:br/>
      </w:r>
      <w:r>
        <w:rPr>
          <w:rStyle w:val="VerbatimChar"/>
        </w:rPr>
        <w:t xml:space="preserve">- Reglas técnicas implantadas en herramientas de seguridad (firewall, EDR, MDM, IdP).</w:t>
      </w:r>
      <w:r>
        <w:br/>
      </w:r>
      <w:r>
        <w:rPr>
          <w:rStyle w:val="VerbatimChar"/>
        </w:rPr>
        <w:t xml:space="preserve">- Compromisos contractuales (cuando la desviación afecta a un tercero o a un cliente).</w:t>
      </w:r>
      <w:r>
        <w:br/>
      </w:r>
      <w:r>
        <w:br/>
      </w:r>
      <w:r>
        <w:rPr>
          <w:rStyle w:val="VerbatimChar"/>
        </w:rPr>
        <w:t xml:space="preserve">## 3. PRINCIPIOS GENERALES</w:t>
      </w:r>
      <w:r>
        <w:br/>
      </w:r>
      <w:r>
        <w:br/>
      </w:r>
      <w:r>
        <w:rPr>
          <w:rStyle w:val="VerbatimChar"/>
        </w:rPr>
        <w:t xml:space="preserve">1. **Toda excepción es temporal:** no se conceden excepciones indefinidas. La duración máxima inicial es de **6 meses**, prorrogable de forma motivada un máximo de dos veces hasta un total de **18 meses**. Pasado ese plazo, o se elimina la causa que motivó la excepción o se modifica la política/procedimiento.</w:t>
      </w:r>
      <w:r>
        <w:br/>
      </w:r>
      <w:r>
        <w:br/>
      </w:r>
      <w:r>
        <w:rPr>
          <w:rStyle w:val="VerbatimChar"/>
        </w:rPr>
        <w:t xml:space="preserve">2. **Toda excepción exige medidas compensatorias:** la persona solicitante propone controles que reduzcan el riesgo derivado de la desviación.</w:t>
      </w:r>
      <w:r>
        <w:br/>
      </w:r>
      <w:r>
        <w:br/>
      </w:r>
      <w:r>
        <w:rPr>
          <w:rStyle w:val="VerbatimChar"/>
        </w:rPr>
        <w:t xml:space="preserve">3. **Toda excepción se documenta y aprueba antes de su aplicación:** quedan prohibidas las excepciones de hecho o las regularizaciones a posteriori salvo en situaciones de emergencia operativa documentadas.</w:t>
      </w:r>
      <w:r>
        <w:br/>
      </w:r>
      <w:r>
        <w:br/>
      </w:r>
      <w:r>
        <w:rPr>
          <w:rStyle w:val="VerbatimChar"/>
        </w:rPr>
        <w:t xml:space="preserve">4. **Toda excepción es revocable** si el riesgo materializado supera el umbral asumido.</w:t>
      </w:r>
      <w:r>
        <w:br/>
      </w:r>
      <w:r>
        <w:br/>
      </w:r>
      <w:r>
        <w:rPr>
          <w:rStyle w:val="VerbatimChar"/>
        </w:rPr>
        <w:t xml:space="preserve">## 4. ROLES Y RESPONSABILIDADES</w:t>
      </w:r>
      <w:r>
        <w:br/>
      </w:r>
      <w:r>
        <w:br/>
      </w:r>
      <w:r>
        <w:rPr>
          <w:rStyle w:val="VerbatimChar"/>
        </w:rPr>
        <w:t xml:space="preserve">| Rol | Responsabilidades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**Solicitante** | Cumplimentar la solicitud, justificar la necesidad, proponer controles compensatorios. |</w:t>
      </w:r>
      <w:r>
        <w:br/>
      </w:r>
      <w:r>
        <w:rPr>
          <w:rStyle w:val="VerbatimChar"/>
        </w:rPr>
        <w:t xml:space="preserve">| **Responsable del Sistema** | Validar la viabilidad técnica de la excepción y de los controles compensatorios. |</w:t>
      </w:r>
      <w:r>
        <w:br/>
      </w:r>
      <w:r>
        <w:rPr>
          <w:rStyle w:val="VerbatimChar"/>
        </w:rPr>
        <w:t xml:space="preserve">| **Responsable de la Seguridad** | Evaluar el riesgo residual, recomendar aprobación o denegación, mantener el Registro de Excepciones. |</w:t>
      </w:r>
      <w:r>
        <w:br/>
      </w:r>
      <w:r>
        <w:rPr>
          <w:rStyle w:val="VerbatimChar"/>
        </w:rPr>
        <w:t xml:space="preserve">| **DPO** | Validar excepciones que afecten a tratamientos de datos personales. |</w:t>
      </w:r>
      <w:r>
        <w:br/>
      </w:r>
      <w:r>
        <w:rPr>
          <w:rStyle w:val="VerbatimChar"/>
        </w:rPr>
        <w:t xml:space="preserve">| **Aprobador** | Según la criticidad (apartado 5), aprueba o deniega formalmente la excepción. |</w:t>
      </w:r>
      <w:r>
        <w:br/>
      </w:r>
      <w:r>
        <w:rPr>
          <w:rStyle w:val="VerbatimChar"/>
        </w:rPr>
        <w:t xml:space="preserve">| **Auditor interno** | Revisar la base de excepciones en cada auditoría interna anual. |</w:t>
      </w:r>
      <w:r>
        <w:br/>
      </w:r>
      <w:r>
        <w:br/>
      </w:r>
      <w:r>
        <w:rPr>
          <w:rStyle w:val="VerbatimChar"/>
        </w:rPr>
        <w:t xml:space="preserve">## 5. NIVELES DE APROBACIÓN</w:t>
      </w:r>
      <w:r>
        <w:br/>
      </w:r>
      <w:r>
        <w:br/>
      </w:r>
      <w:r>
        <w:rPr>
          <w:rStyle w:val="VerbatimChar"/>
        </w:rPr>
        <w:t xml:space="preserve">| Nivel | Riesgo residual estimado | Aprobador competente | Plazo máximo de respuesta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**L1 — Bajo** | Sin impacto en datos personales ni en disponibilidad ≥ 4 h | Responsable del Sistema | 5 días hábiles |</w:t>
      </w:r>
      <w:r>
        <w:br/>
      </w:r>
      <w:r>
        <w:rPr>
          <w:rStyle w:val="VerbatimChar"/>
        </w:rPr>
        <w:t xml:space="preserve">| **L2 — Medio** | Impacto contenido, sin afectar a información CONFIDENCIAL+ ni a procesos críticos | Responsable de la Seguridad | 7 días hábiles |</w:t>
      </w:r>
      <w:r>
        <w:br/>
      </w:r>
      <w:r>
        <w:rPr>
          <w:rStyle w:val="VerbatimChar"/>
        </w:rPr>
        <w:t xml:space="preserve">| **L3 — Alto** | Afecta a información CONFIDENCIAL+ o a procesos del BIA con RTO ≤ 24 h | Comité de Seguridad | 15 días hábiles |</w:t>
      </w:r>
      <w:r>
        <w:br/>
      </w:r>
      <w:r>
        <w:rPr>
          <w:rStyle w:val="VerbatimChar"/>
        </w:rPr>
        <w:t xml:space="preserve">| **L4 — Crítico** | Afecta a categoría ALTA o a un compromiso contractual con cliente AAPP | Dirección General + Comité de Seguridad | 30 días hábiles |</w:t>
      </w:r>
      <w:r>
        <w:br/>
      </w:r>
      <w:r>
        <w:br/>
      </w:r>
      <w:r>
        <w:rPr>
          <w:rStyle w:val="VerbatimChar"/>
        </w:rPr>
        <w:t xml:space="preserve">{% if proyecto.categoria_ens == "ALTA" %}</w:t>
      </w:r>
      <w:r>
        <w:br/>
      </w:r>
      <w:r>
        <w:rPr>
          <w:rStyle w:val="VerbatimChar"/>
        </w:rPr>
        <w:t xml:space="preserve">**Categoría ALTA:** las excepciones L3 y L4 son adicionalmente notificadas al Responsable de la Información del cliente final cuando éste sea una entidad del sector público.</w:t>
      </w:r>
      <w:r>
        <w:br/>
      </w:r>
      <w:r>
        <w:rPr>
          <w:rStyle w:val="VerbatimChar"/>
        </w:rPr>
        <w:t xml:space="preserve">{% endif %}</w:t>
      </w:r>
      <w:r>
        <w:br/>
      </w:r>
      <w:r>
        <w:br/>
      </w:r>
      <w:r>
        <w:rPr>
          <w:rStyle w:val="VerbatimChar"/>
        </w:rPr>
        <w:t xml:space="preserve">## 6. FLUJO OPERATIVO</w:t>
      </w:r>
      <w:r>
        <w:br/>
      </w:r>
      <w:r>
        <w:br/>
      </w:r>
      <w:r>
        <w:rPr>
          <w:rStyle w:val="VerbatimChar"/>
        </w:rPr>
        <w:t xml:space="preserve">### Fase 1 — Solicitud (T+0)</w:t>
      </w:r>
      <w:r>
        <w:br/>
      </w:r>
      <w:r>
        <w:br/>
      </w:r>
      <w:r>
        <w:rPr>
          <w:rStyle w:val="VerbatimChar"/>
        </w:rPr>
        <w:t xml:space="preserve">1. El solicitante cumplimenta el formulario **F-222 — Solicitud de Excepción** con:</w:t>
      </w:r>
      <w:r>
        <w:br/>
      </w:r>
      <w:r>
        <w:rPr>
          <w:rStyle w:val="VerbatimChar"/>
        </w:rPr>
        <w:t xml:space="preserve">   - Identificación del solicitante y del área.</w:t>
      </w:r>
      <w:r>
        <w:br/>
      </w:r>
      <w:r>
        <w:rPr>
          <w:rStyle w:val="VerbatimChar"/>
        </w:rPr>
        <w:t xml:space="preserve">   - Política, procedimiento o configuración objeto de la excepción.</w:t>
      </w:r>
      <w:r>
        <w:br/>
      </w:r>
      <w:r>
        <w:rPr>
          <w:rStyle w:val="VerbatimChar"/>
        </w:rPr>
        <w:t xml:space="preserve">   - Justificación operativa detallada (problema que resuelve la excepción).</w:t>
      </w:r>
      <w:r>
        <w:br/>
      </w:r>
      <w:r>
        <w:rPr>
          <w:rStyle w:val="VerbatimChar"/>
        </w:rPr>
        <w:t xml:space="preserve">   - Alternativas evaluadas y motivo del rechazo.</w:t>
      </w:r>
      <w:r>
        <w:br/>
      </w:r>
      <w:r>
        <w:rPr>
          <w:rStyle w:val="VerbatimChar"/>
        </w:rPr>
        <w:t xml:space="preserve">   - Sistemas y datos afectados.</w:t>
      </w:r>
      <w:r>
        <w:br/>
      </w:r>
      <w:r>
        <w:rPr>
          <w:rStyle w:val="VerbatimChar"/>
        </w:rPr>
        <w:t xml:space="preserve">   - Duración solicitada (no superior a 6 meses).</w:t>
      </w:r>
      <w:r>
        <w:br/>
      </w:r>
      <w:r>
        <w:rPr>
          <w:rStyle w:val="VerbatimChar"/>
        </w:rPr>
        <w:t xml:space="preserve">   - Controles compensatorios propuestos.</w:t>
      </w:r>
      <w:r>
        <w:br/>
      </w:r>
      <w:r>
        <w:rPr>
          <w:rStyle w:val="VerbatimChar"/>
        </w:rPr>
        <w:t xml:space="preserve">   - Riesgo residual estimado.</w:t>
      </w:r>
      <w:r>
        <w:br/>
      </w:r>
      <w:r>
        <w:br/>
      </w:r>
      <w:r>
        <w:rPr>
          <w:rStyle w:val="VerbatimChar"/>
        </w:rPr>
        <w:t xml:space="preserve">2. La solicitud entra en el flujo del sistema de tickets corporativo con etiqueta `excepcion-sgsi` y se asigna automáticamente al Responsable del Sistema.</w:t>
      </w:r>
      <w:r>
        <w:br/>
      </w:r>
      <w:r>
        <w:br/>
      </w:r>
      <w:r>
        <w:rPr>
          <w:rStyle w:val="VerbatimChar"/>
        </w:rPr>
        <w:t xml:space="preserve">### Fase 2 — Análisis técnico (T+0 a T+3 días hábiles)</w:t>
      </w:r>
      <w:r>
        <w:br/>
      </w:r>
      <w:r>
        <w:br/>
      </w:r>
      <w:r>
        <w:rPr>
          <w:rStyle w:val="VerbatimChar"/>
        </w:rPr>
        <w:t xml:space="preserve">**Responsable:** Responsable del Sistema.</w:t>
      </w:r>
      <w:r>
        <w:br/>
      </w:r>
      <w:r>
        <w:br/>
      </w:r>
      <w:r>
        <w:rPr>
          <w:rStyle w:val="VerbatimChar"/>
        </w:rPr>
        <w:t xml:space="preserve">3. Verifica la viabilidad técnica de la solicitud y de los controles compensatorios.</w:t>
      </w:r>
      <w:r>
        <w:br/>
      </w:r>
      <w:r>
        <w:br/>
      </w:r>
      <w:r>
        <w:rPr>
          <w:rStyle w:val="VerbatimChar"/>
        </w:rPr>
        <w:t xml:space="preserve">4. Cuantifica el impacto en otros activos o procesos.</w:t>
      </w:r>
      <w:r>
        <w:br/>
      </w:r>
      <w:r>
        <w:br/>
      </w:r>
      <w:r>
        <w:rPr>
          <w:rStyle w:val="VerbatimChar"/>
        </w:rPr>
        <w:t xml:space="preserve">5. Si la excepción puede resolverse modificando la solución técnica sin necesidad de excepción, devuelve la solicitud con propuesta alternativa.</w:t>
      </w:r>
      <w:r>
        <w:br/>
      </w:r>
      <w:r>
        <w:br/>
      </w:r>
      <w:r>
        <w:rPr>
          <w:rStyle w:val="VerbatimChar"/>
        </w:rPr>
        <w:t xml:space="preserve">### Fase 3 — Análisis de riesgo (T+3 a T+7 días hábiles)</w:t>
      </w:r>
      <w:r>
        <w:br/>
      </w:r>
      <w:r>
        <w:br/>
      </w:r>
      <w:r>
        <w:rPr>
          <w:rStyle w:val="VerbatimChar"/>
        </w:rPr>
        <w:t xml:space="preserve">**Responsable:** Responsable de la Seguridad.</w:t>
      </w:r>
      <w:r>
        <w:br/>
      </w:r>
      <w:r>
        <w:br/>
      </w:r>
      <w:r>
        <w:rPr>
          <w:rStyle w:val="VerbatimChar"/>
        </w:rPr>
        <w:t xml:space="preserve">6. Reevalúa el riesgo residual conforme a la metodología MAGERIT v3 utilizada por la organización.</w:t>
      </w:r>
      <w:r>
        <w:br/>
      </w:r>
      <w:r>
        <w:br/>
      </w:r>
      <w:r>
        <w:rPr>
          <w:rStyle w:val="VerbatimChar"/>
        </w:rPr>
        <w:t xml:space="preserve">7. Determina el **nivel de aprobación** (apartado 5) y enruta al aprobador competente.</w:t>
      </w:r>
      <w:r>
        <w:br/>
      </w:r>
      <w:r>
        <w:br/>
      </w:r>
      <w:r>
        <w:rPr>
          <w:rStyle w:val="VerbatimChar"/>
        </w:rPr>
        <w:t xml:space="preserve">8. Si el riesgo residual supera los umbrales del Apetito de Riesgo definido en {{ proyecto.codigo_documento_base }}-AR-001, recomienda denegación.</w:t>
      </w:r>
      <w:r>
        <w:br/>
      </w:r>
      <w:r>
        <w:br/>
      </w:r>
      <w:r>
        <w:rPr>
          <w:rStyle w:val="VerbatimChar"/>
        </w:rPr>
        <w:t xml:space="preserve">### Fase 4 — Decisión y registro (según plazo del nivel)</w:t>
      </w:r>
      <w:r>
        <w:br/>
      </w:r>
      <w:r>
        <w:br/>
      </w:r>
      <w:r>
        <w:rPr>
          <w:rStyle w:val="VerbatimChar"/>
        </w:rPr>
        <w:t xml:space="preserve">**Responsable:** Aprobador competente.</w:t>
      </w:r>
      <w:r>
        <w:br/>
      </w:r>
      <w:r>
        <w:br/>
      </w:r>
      <w:r>
        <w:rPr>
          <w:rStyle w:val="VerbatimChar"/>
        </w:rPr>
        <w:t xml:space="preserve">9. Decide: APROBADA / APROBADA CON CONDICIONES / DENEGADA.</w:t>
      </w:r>
      <w:r>
        <w:br/>
      </w:r>
      <w:r>
        <w:br/>
      </w:r>
      <w:r>
        <w:rPr>
          <w:rStyle w:val="VerbatimChar"/>
        </w:rPr>
        <w:t xml:space="preserve">10. La decisión se firma electrónicamente y se incorpora al **Registro de Excepciones (R-222)**, con identificador único `EXC-AAAA-NNNN`.</w:t>
      </w:r>
      <w:r>
        <w:br/>
      </w:r>
      <w:r>
        <w:br/>
      </w:r>
      <w:r>
        <w:rPr>
          <w:rStyle w:val="VerbatimChar"/>
        </w:rPr>
        <w:t xml:space="preserve">11. El Responsable de la Seguridad notifica al solicitante en un máximo de 2 días hábiles desde la decisión.</w:t>
      </w:r>
      <w:r>
        <w:br/>
      </w:r>
      <w:r>
        <w:br/>
      </w:r>
      <w:r>
        <w:rPr>
          <w:rStyle w:val="VerbatimChar"/>
        </w:rPr>
        <w:t xml:space="preserve">### Fase 5 — Aplicación y supervisión continua</w:t>
      </w:r>
      <w:r>
        <w:br/>
      </w:r>
      <w:r>
        <w:br/>
      </w:r>
      <w:r>
        <w:rPr>
          <w:rStyle w:val="VerbatimChar"/>
        </w:rPr>
        <w:t xml:space="preserve">12. Si la excepción es APROBADA, el solicitante implementa los controles compensatorios y notifica al Responsable de la Seguridad la fecha real de inicio.</w:t>
      </w:r>
      <w:r>
        <w:br/>
      </w:r>
      <w:r>
        <w:br/>
      </w:r>
      <w:r>
        <w:rPr>
          <w:rStyle w:val="VerbatimChar"/>
        </w:rPr>
        <w:t xml:space="preserve">13. **Supervisión periódica** según nivel:</w:t>
      </w:r>
      <w:r>
        <w:br/>
      </w:r>
      <w:r>
        <w:br/>
      </w:r>
      <w:r>
        <w:rPr>
          <w:rStyle w:val="VerbatimChar"/>
        </w:rPr>
        <w:t xml:space="preserve">| Nivel | Frecuencia de revisión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L1 | Mensual (verificación de vigencia y compensatorios) |</w:t>
      </w:r>
      <w:r>
        <w:br/>
      </w:r>
      <w:r>
        <w:rPr>
          <w:rStyle w:val="VerbatimChar"/>
        </w:rPr>
        <w:t xml:space="preserve">| L2 | Mensual + verificación trimestral del riesgo |</w:t>
      </w:r>
      <w:r>
        <w:br/>
      </w:r>
      <w:r>
        <w:rPr>
          <w:rStyle w:val="VerbatimChar"/>
        </w:rPr>
        <w:t xml:space="preserve">| L3 | Quincenal + revisión de riesgo bimestral por Comité |</w:t>
      </w:r>
      <w:r>
        <w:br/>
      </w:r>
      <w:r>
        <w:rPr>
          <w:rStyle w:val="VerbatimChar"/>
        </w:rPr>
        <w:t xml:space="preserve">| L4 | Semanal durante el primer mes, después quincenal |</w:t>
      </w:r>
      <w:r>
        <w:br/>
      </w:r>
      <w:r>
        <w:br/>
      </w:r>
      <w:r>
        <w:rPr>
          <w:rStyle w:val="VerbatimChar"/>
        </w:rPr>
        <w:t xml:space="preserve">14. Las revisiones se documentan en el Registro de Excepciones (R-222) con sello de fecha y observaciones.</w:t>
      </w:r>
      <w:r>
        <w:br/>
      </w:r>
      <w:r>
        <w:br/>
      </w:r>
      <w:r>
        <w:rPr>
          <w:rStyle w:val="VerbatimChar"/>
        </w:rPr>
        <w:t xml:space="preserve">### Fase 6 — Cierre</w:t>
      </w:r>
      <w:r>
        <w:br/>
      </w:r>
      <w:r>
        <w:br/>
      </w:r>
      <w:r>
        <w:rPr>
          <w:rStyle w:val="VerbatimChar"/>
        </w:rPr>
        <w:t xml:space="preserve">15. **Por vencimiento:** 30 días antes de la fecha límite, el sistema notifica al solicitante para que:</w:t>
      </w:r>
      <w:r>
        <w:br/>
      </w:r>
      <w:r>
        <w:rPr>
          <w:rStyle w:val="VerbatimChar"/>
        </w:rPr>
        <w:t xml:space="preserve">    - Cierre la excepción habiendo regularizado la situación.</w:t>
      </w:r>
      <w:r>
        <w:br/>
      </w:r>
      <w:r>
        <w:rPr>
          <w:rStyle w:val="VerbatimChar"/>
        </w:rPr>
        <w:t xml:space="preserve">    - Solicite una **prórroga motivada** (que requiere de nuevo aprobación del nivel correspondiente).</w:t>
      </w:r>
      <w:r>
        <w:br/>
      </w:r>
      <w:r>
        <w:rPr>
          <w:rStyle w:val="VerbatimChar"/>
        </w:rPr>
        <w:t xml:space="preserve">    - Solicite una **modificación de política** si la excepción ha demostrado ser estructural.</w:t>
      </w:r>
      <w:r>
        <w:br/>
      </w:r>
      <w:r>
        <w:br/>
      </w:r>
      <w:r>
        <w:rPr>
          <w:rStyle w:val="VerbatimChar"/>
        </w:rPr>
        <w:t xml:space="preserve">16. **Por revocación:** si la supervisión detecta materialización de riesgo o incumplimiento de los controles compensatorios, el aprobador puede revocar la excepción inmediatamente. La revocación se notifica con plazo máximo de 48 horas para regularizar o escalar a incidente.</w:t>
      </w:r>
      <w:r>
        <w:br/>
      </w:r>
      <w:r>
        <w:br/>
      </w:r>
      <w:r>
        <w:rPr>
          <w:rStyle w:val="VerbatimChar"/>
        </w:rPr>
        <w:t xml:space="preserve">17. **Por regularización:** cuando se elimina la causa de la excepción, el solicitante notifica el cierre y el Responsable de la Seguridad lo refleja en R-222.</w:t>
      </w:r>
      <w:r>
        <w:br/>
      </w:r>
      <w:r>
        <w:br/>
      </w:r>
      <w:r>
        <w:rPr>
          <w:rStyle w:val="VerbatimChar"/>
        </w:rPr>
        <w:t xml:space="preserve">## 7. EXCEPCIONES DE EMERGENCIA</w:t>
      </w:r>
      <w:r>
        <w:br/>
      </w:r>
      <w:r>
        <w:br/>
      </w:r>
      <w:r>
        <w:rPr>
          <w:rStyle w:val="VerbatimChar"/>
        </w:rPr>
        <w:t xml:space="preserve">En caso de **emergencia operativa** (caída de servicio, incidente activo) que requiera saltarse temporalmente un control:</w:t>
      </w:r>
      <w:r>
        <w:br/>
      </w:r>
      <w:r>
        <w:br/>
      </w:r>
      <w:r>
        <w:rPr>
          <w:rStyle w:val="VerbatimChar"/>
        </w:rPr>
        <w:t xml:space="preserve">1. La persona con responsabilidad operativa puede aplicar la desviación inmediatamente comunicándolo simultáneamente al Responsable de la Seguridad por canal urgente.</w:t>
      </w:r>
      <w:r>
        <w:br/>
      </w:r>
      <w:r>
        <w:br/>
      </w:r>
      <w:r>
        <w:rPr>
          <w:rStyle w:val="VerbatimChar"/>
        </w:rPr>
        <w:t xml:space="preserve">2. En un plazo máximo de **24 horas**, debe presentar el formulario F-222 retroactivo con la documentación completa.</w:t>
      </w:r>
      <w:r>
        <w:br/>
      </w:r>
      <w:r>
        <w:br/>
      </w:r>
      <w:r>
        <w:rPr>
          <w:rStyle w:val="VerbatimChar"/>
        </w:rPr>
        <w:t xml:space="preserve">3. El Responsable de la Seguridad valora si la emergencia estaba justificada y, en caso contrario, abre **No Conformidad** conforme a {{ proyecto.codigo_documento_base }}-220.</w:t>
      </w:r>
      <w:r>
        <w:br/>
      </w:r>
      <w:r>
        <w:br/>
      </w:r>
      <w:r>
        <w:rPr>
          <w:rStyle w:val="VerbatimChar"/>
        </w:rPr>
        <w:t xml:space="preserve">4. Las excepciones de emergencia se etiquetan en R-222 como `tipo: emergencia` y son revisadas individualmente en cada Comité de Seguridad mensual.</w:t>
      </w:r>
      <w:r>
        <w:br/>
      </w:r>
      <w:r>
        <w:br/>
      </w:r>
      <w:r>
        <w:rPr>
          <w:rStyle w:val="VerbatimChar"/>
        </w:rPr>
        <w:t xml:space="preserve">## 8. INTEGRACIÓN CON OTROS PROCEDIMIENTOS</w:t>
      </w:r>
      <w:r>
        <w:br/>
      </w:r>
      <w:r>
        <w:br/>
      </w:r>
      <w:r>
        <w:rPr>
          <w:rStyle w:val="VerbatimChar"/>
        </w:rPr>
        <w:t xml:space="preserve">| Procedimiento | Relación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{{ proyecto.codigo_documento_base }}-220 (No Conformidades) | Una excepción no aprobada o vencida sin regularizar genera NC. |</w:t>
      </w:r>
      <w:r>
        <w:br/>
      </w:r>
      <w:r>
        <w:rPr>
          <w:rStyle w:val="VerbatimChar"/>
        </w:rPr>
        <w:t xml:space="preserve">| {{ proyecto.codigo_documento_base }}-218 (Auditoría Interna) | El auditor revisa el 100 % de excepciones L3/L4 y muestra del 20 % de L1/L2. |</w:t>
      </w:r>
      <w:r>
        <w:br/>
      </w:r>
      <w:r>
        <w:rPr>
          <w:rStyle w:val="VerbatimChar"/>
        </w:rPr>
        <w:t xml:space="preserve">| {{ proyecto.codigo_documento_base }}-AR-001 (Análisis de Riesgos) | Las excepciones aprobadas se incorporan al mapa de riesgos como riesgos asumidos temporalmente. |</w:t>
      </w:r>
      <w:r>
        <w:br/>
      </w:r>
      <w:r>
        <w:rPr>
          <w:rStyle w:val="VerbatimChar"/>
        </w:rPr>
        <w:t xml:space="preserve">| {{ proyecto.codigo_documento_base }}-219 (Revisión por la Dirección) | El cuadro de mando de excepciones se presenta anualmente. |</w:t>
      </w:r>
      <w:r>
        <w:br/>
      </w:r>
      <w:r>
        <w:br/>
      </w:r>
      <w:r>
        <w:rPr>
          <w:rStyle w:val="VerbatimChar"/>
        </w:rPr>
        <w:t xml:space="preserve">## 9. REGISTROS GENERADOS</w:t>
      </w:r>
      <w:r>
        <w:br/>
      </w:r>
      <w:r>
        <w:br/>
      </w:r>
      <w:r>
        <w:rPr>
          <w:rStyle w:val="VerbatimChar"/>
        </w:rPr>
        <w:t xml:space="preserve">| Código | Registro | Conservación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F-222 | Solicitud de Excepción | 6 años desde cierre |</w:t>
      </w:r>
      <w:r>
        <w:br/>
      </w:r>
      <w:r>
        <w:rPr>
          <w:rStyle w:val="VerbatimChar"/>
        </w:rPr>
        <w:t xml:space="preserve">| R-222 | Registro maestro de Excepciones | Permanente |</w:t>
      </w:r>
      <w:r>
        <w:br/>
      </w:r>
      <w:r>
        <w:rPr>
          <w:rStyle w:val="VerbatimChar"/>
        </w:rPr>
        <w:t xml:space="preserve">| L-222 | Log de revisiones periódicas | 3 años |</w:t>
      </w:r>
      <w:r>
        <w:br/>
      </w:r>
      <w:r>
        <w:br/>
      </w:r>
      <w:r>
        <w:rPr>
          <w:rStyle w:val="VerbatimChar"/>
        </w:rPr>
        <w:t xml:space="preserve">## 10. INDICADORES (KPI)</w:t>
      </w:r>
      <w:r>
        <w:br/>
      </w:r>
      <w:r>
        <w:br/>
      </w:r>
      <w:r>
        <w:rPr>
          <w:rStyle w:val="VerbatimChar"/>
        </w:rPr>
        <w:t xml:space="preserve">| Indicador | Fórmula | Objetivo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Excepciones vivas | recuento | &lt; 30 (umbral revisado anualmente) |</w:t>
      </w:r>
      <w:r>
        <w:br/>
      </w:r>
      <w:r>
        <w:rPr>
          <w:rStyle w:val="VerbatimChar"/>
        </w:rPr>
        <w:t xml:space="preserve">| Excepciones vencidas sin cerrar | recuento | 0 |</w:t>
      </w:r>
      <w:r>
        <w:br/>
      </w:r>
      <w:r>
        <w:rPr>
          <w:rStyle w:val="VerbatimChar"/>
        </w:rPr>
        <w:t xml:space="preserve">| Tiempo medio de aprobación L1+L2 | media (días hábiles) | ≤ 5 |</w:t>
      </w:r>
      <w:r>
        <w:br/>
      </w:r>
      <w:r>
        <w:rPr>
          <w:rStyle w:val="VerbatimChar"/>
        </w:rPr>
        <w:t xml:space="preserve">| % excepciones revisadas en plazo | revisadas en plazo / requeridas | ≥ 95 % |</w:t>
      </w:r>
      <w:r>
        <w:br/>
      </w:r>
      <w:r>
        <w:rPr>
          <w:rStyle w:val="VerbatimChar"/>
        </w:rPr>
        <w:t xml:space="preserve">| Excepciones de emergencia justificadas | aprobadas / total emergencia | ≥ 90 % |</w:t>
      </w:r>
      <w:r>
        <w:br/>
      </w:r>
      <w:r>
        <w:br/>
      </w:r>
      <w:r>
        <w:rPr>
          <w:rStyle w:val="VerbatimChar"/>
        </w:rPr>
        <w:t xml:space="preserve">## 11. REVISIÓN</w:t>
      </w:r>
      <w:r>
        <w:br/>
      </w:r>
      <w:r>
        <w:br/>
      </w:r>
      <w:r>
        <w:rPr>
          <w:rStyle w:val="VerbatimChar"/>
        </w:rPr>
        <w:t xml:space="preserve">Este procedimiento se revisa **anualmente** o cuando:</w:t>
      </w:r>
      <w:r>
        <w:br/>
      </w:r>
      <w:r>
        <w:br/>
      </w:r>
      <w:r>
        <w:rPr>
          <w:rStyle w:val="VerbatimChar"/>
        </w:rPr>
        <w:t xml:space="preserve">- Cambien los umbrales de Apetito de Riesgo de la organización.</w:t>
      </w:r>
      <w:r>
        <w:br/>
      </w:r>
      <w:r>
        <w:rPr>
          <w:rStyle w:val="VerbatimChar"/>
        </w:rPr>
        <w:t xml:space="preserve">- Se modifique el RD 311/2022 o la guía CCN-STIC 804 en lo relativo a org.4.</w:t>
      </w:r>
      <w:r>
        <w:br/>
      </w:r>
      <w:r>
        <w:rPr>
          <w:rStyle w:val="VerbatimChar"/>
        </w:rPr>
        <w:t xml:space="preserve">- Se detecten patrones recurrentes que aconsejen modificar políticas en lugar de gestionar excepciones reiteradas.</w:t>
      </w:r>
      <w:r>
        <w:br/>
      </w:r>
      <w:r>
        <w:br/>
      </w:r>
      <w:r>
        <w:rPr>
          <w:rStyle w:val="VerbatimChar"/>
        </w:rPr>
        <w:t xml:space="preserve">Responsabilidad: **Responsable de la Seguridad**, con aprobación del **Comité de Seguridad**.</w:t>
      </w:r>
    </w:p>
    <w:bookmarkEnd w:id="2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E-222 · Documento E-222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2026-06-11T23:44:32Z</dcterms:created>
  <dcterms:modified xsi:type="dcterms:W3CDTF">2026-06-11T23:44:32Z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