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3951d3a6ee845ed84b87e1aad4d8e1ca7f9f41"/>
    <w:p>
      <w:pPr>
        <w:pStyle w:val="Heading1"/>
      </w:pPr>
      <w:r>
        <w:t xml:space="preserve">DOCUMENTO E-232 — PROCEDIMIENTO DE GESTIÓN DE CERTIFICADOS DIGITALES</w:t>
      </w:r>
    </w:p>
    <w:p>
      <w:pPr>
        <w:pStyle w:val="FirstParagraph"/>
      </w:pPr>
      <w:r>
        <w:rPr>
          <w:bCs/>
          <w:b/>
        </w:rPr>
        <w:t xml:space="preserve">Es el procedimiento operativo que materializa la Política de Cifrado y Gestión de Claves ({{ proyecto.codigo_documento_base }}-107) y la Política de Gestión de Claves Criptográficas ({{ proyecto.codigo_documento_base }}-120) en lo relativo a certificados X.509.</w:t>
      </w:r>
      <w:r>
        <w:t xml:space="preserve"> </w:t>
      </w:r>
      <w:r>
        <w:t xml:space="preserve">Define el ciclo de vida completo de los certificados utilizados por {{ cliente.razon_social }}: emisión, distribución, custodia, rotación y revocación.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codigo_documento: "{{ proyecto.codigo_documento_base }}-232"</w:t>
      </w:r>
      <w:r>
        <w:br/>
      </w:r>
      <w:r>
        <w:rPr>
          <w:rStyle w:val="VerbatimChar"/>
        </w:rPr>
        <w:t xml:space="preserve">titulo: "Procedimiento de Gestión de Certificados Digitales"</w:t>
      </w:r>
      <w:r>
        <w:br/>
      </w:r>
      <w:r>
        <w:rPr>
          <w:rStyle w:val="VerbatimChar"/>
        </w:rPr>
        <w:t xml:space="preserve">version: "{{ proyecto.version_actual }}"</w:t>
      </w:r>
      <w:r>
        <w:br/>
      </w:r>
      <w:r>
        <w:rPr>
          <w:rStyle w:val="VerbatimChar"/>
        </w:rPr>
        <w:t xml:space="preserve">fecha_aprobacion: "{{ proyecto.fecha_aprobacion_inicial }}"</w:t>
      </w:r>
      <w:r>
        <w:br/>
      </w:r>
      <w:r>
        <w:rPr>
          <w:rStyle w:val="VerbatimChar"/>
        </w:rPr>
        <w:t xml:space="preserve">fecha_proxima_revision: "{{ proyecto.proxima_revision }}"</w:t>
      </w:r>
      <w:r>
        <w:br/>
      </w:r>
      <w:r>
        <w:rPr>
          <w:rStyle w:val="VerbatimChar"/>
        </w:rPr>
        <w:t xml:space="preserve">clasificacion: "INTERNA"</w:t>
      </w:r>
      <w:r>
        <w:br/>
      </w:r>
      <w:r>
        <w:rPr>
          <w:rStyle w:val="VerbatimChar"/>
        </w:rPr>
        <w:t xml:space="preserve">propietario: "{{ responsables.responsable_seguridad.cargo }}"</w:t>
      </w:r>
      <w:r>
        <w:br/>
      </w:r>
      <w:r>
        <w:rPr>
          <w:rStyle w:val="VerbatimChar"/>
        </w:rPr>
        <w:t xml:space="preserve">politica_madre: "{{ proyecto.codigo_documento_base }}-107, {{ proyecto.codigo_documento_base }}-120"</w:t>
      </w:r>
      <w:r>
        <w:br/>
      </w:r>
      <w:r>
        <w:rPr>
          <w:rStyle w:val="VerbatimChar"/>
        </w:rPr>
        <w:t xml:space="preserve">medidas_ens: ["mp.info.3", "mp.info.4", "mp.com.2"]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PROCEDIMIENTO DE GESTIÓN DE CERTIFICADOS DIGITALES DE {{ cliente.razon_social | upper }}</w:t>
      </w:r>
      <w:r>
        <w:br/>
      </w:r>
      <w:r>
        <w:br/>
      </w:r>
      <w:r>
        <w:rPr>
          <w:rStyle w:val="VerbatimChar"/>
        </w:rPr>
        <w:t xml:space="preserve">**Documento {{ proyecto.codigo_documento_base }}-232 — Versión {{ proyecto.version_actual }}**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OBJETO</w:t>
      </w:r>
      <w:r>
        <w:br/>
      </w:r>
      <w:r>
        <w:br/>
      </w:r>
      <w:r>
        <w:rPr>
          <w:rStyle w:val="VerbatimChar"/>
        </w:rPr>
        <w:t xml:space="preserve">Establecer las acciones operativas para gestionar el ciclo de vida completo de los certificados digitales X.509 utilizados por {{ cliente.razon_social }}, garantizando confidencialidad, autenticidad e integridad en las comunicaciones y operaciones que dependen de ellos, así como la disponibilidad continua mediante la prevención de caducidades.</w:t>
      </w:r>
      <w:r>
        <w:br/>
      </w:r>
      <w:r>
        <w:br/>
      </w:r>
      <w:r>
        <w:rPr>
          <w:rStyle w:val="VerbatimChar"/>
        </w:rPr>
        <w:t xml:space="preserve">Este procedimiento desarrolla las medidas **mp.info.3 (firma electrónica), mp.info.4 (sellos de tiempo) y mp.com.2 (protección de la confidencialidad)** del Anexo II del Real Decreto 311/2022, alineado con la guía **CCN-STIC 807 (criptología en el ENS)** y con el Reglamento (UE) 910/2014 (eIDAS) en lo aplicable.</w:t>
      </w:r>
      <w:r>
        <w:br/>
      </w:r>
      <w:r>
        <w:br/>
      </w:r>
      <w:r>
        <w:rPr>
          <w:rStyle w:val="VerbatimChar"/>
        </w:rPr>
        <w:t xml:space="preserve">## 2. ALCANCE</w:t>
      </w:r>
      <w:r>
        <w:br/>
      </w:r>
      <w:r>
        <w:br/>
      </w:r>
      <w:r>
        <w:rPr>
          <w:rStyle w:val="VerbatimChar"/>
        </w:rPr>
        <w:t xml:space="preserve">Aplica a:</w:t>
      </w:r>
      <w:r>
        <w:br/>
      </w:r>
      <w:r>
        <w:br/>
      </w:r>
      <w:r>
        <w:rPr>
          <w:rStyle w:val="VerbatimChar"/>
        </w:rPr>
        <w:t xml:space="preserve">- Certificados de servidor TLS para servicios públicos e internos.</w:t>
      </w:r>
      <w:r>
        <w:br/>
      </w:r>
      <w:r>
        <w:rPr>
          <w:rStyle w:val="VerbatimChar"/>
        </w:rPr>
        <w:t xml:space="preserve">- Certificados cliente para autenticación mutua (mTLS).</w:t>
      </w:r>
      <w:r>
        <w:br/>
      </w:r>
      <w:r>
        <w:rPr>
          <w:rStyle w:val="VerbatimChar"/>
        </w:rPr>
        <w:t xml:space="preserve">- Certificados de firma de código, firma de documentos y firma electrónica avanzada/cualificada.</w:t>
      </w:r>
      <w:r>
        <w:br/>
      </w:r>
      <w:r>
        <w:rPr>
          <w:rStyle w:val="VerbatimChar"/>
        </w:rPr>
        <w:t xml:space="preserve">- Certificados de máquina y de servicio para integraciones automáticas.</w:t>
      </w:r>
      <w:r>
        <w:br/>
      </w:r>
      <w:r>
        <w:rPr>
          <w:rStyle w:val="VerbatimChar"/>
        </w:rPr>
        <w:t xml:space="preserve">- Certificados de cifrado y firma de correo (S/MIME).</w:t>
      </w:r>
      <w:r>
        <w:br/>
      </w:r>
      <w:r>
        <w:rPr>
          <w:rStyle w:val="VerbatimChar"/>
        </w:rPr>
        <w:t xml:space="preserve">- Certificados de IoT y dispositivos de red corporativos.</w:t>
      </w:r>
      <w:r>
        <w:br/>
      </w:r>
      <w:r>
        <w:br/>
      </w:r>
      <w:r>
        <w:rPr>
          <w:rStyle w:val="VerbatimChar"/>
        </w:rPr>
        <w:t xml:space="preserve">Quedan excluidas las claves criptográficas simétricas y las claves de cifrado de datos en reposo, gestionadas por {{ proyecto.codigo_documento_base }}-120.</w:t>
      </w:r>
      <w:r>
        <w:br/>
      </w:r>
      <w:r>
        <w:br/>
      </w:r>
      <w:r>
        <w:rPr>
          <w:rStyle w:val="VerbatimChar"/>
        </w:rPr>
        <w:t xml:space="preserve">## 3. AUTORIDADES DE CERTIFICACIÓN APROBADAS</w:t>
      </w:r>
      <w:r>
        <w:br/>
      </w:r>
      <w:r>
        <w:br/>
      </w:r>
      <w:r>
        <w:rPr>
          <w:rStyle w:val="VerbatimChar"/>
        </w:rPr>
        <w:t xml:space="preserve">| Tipo de uso | Autoridades aprobadas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**TLS público** | Let's Encrypt, DigiCert, Sectigo, ZeroSSL, otros con OCSP/CRL operativos |</w:t>
      </w:r>
      <w:r>
        <w:br/>
      </w:r>
      <w:r>
        <w:rPr>
          <w:rStyle w:val="VerbatimChar"/>
        </w:rPr>
        <w:t xml:space="preserve">| **TLS interno / mTLS** | PKI corporativa interna (smallstep, Vault PKI, Microsoft AD CS) |</w:t>
      </w:r>
      <w:r>
        <w:br/>
      </w:r>
      <w:r>
        <w:rPr>
          <w:rStyle w:val="VerbatimChar"/>
        </w:rPr>
        <w:t xml:space="preserve">| **Firma electrónica cualificada** | Prestadores cualificados de la lista TSL española (FNMT-RCM, ANCERT, Camerfirma, Uanataca, Firmaprofesional...) |</w:t>
      </w:r>
      <w:r>
        <w:br/>
      </w:r>
      <w:r>
        <w:rPr>
          <w:rStyle w:val="VerbatimChar"/>
        </w:rPr>
        <w:t xml:space="preserve">| **Firma de código** | DigiCert, Sectigo, GlobalSign |</w:t>
      </w:r>
      <w:r>
        <w:br/>
      </w:r>
      <w:r>
        <w:rPr>
          <w:rStyle w:val="VerbatimChar"/>
        </w:rPr>
        <w:t xml:space="preserve">| **Firma de documentos** | Conforme a eIDAS y al uso previsto (avanzada/cualificada) |</w:t>
      </w:r>
      <w:r>
        <w:br/>
      </w:r>
      <w:r>
        <w:br/>
      </w:r>
      <w:r>
        <w:rPr>
          <w:rStyle w:val="VerbatimChar"/>
        </w:rPr>
        <w:t xml:space="preserve">{% if proyecto.categoria_ens == "ALTA" %}</w:t>
      </w:r>
      <w:r>
        <w:br/>
      </w:r>
      <w:r>
        <w:rPr>
          <w:rStyle w:val="VerbatimChar"/>
        </w:rPr>
        <w:t xml:space="preserve">**Categoría ALTA:** los certificados de firma cualificada utilizan obligatoriamente prestadores cualificados de la lista TSL española y QSCD (qualified signature creation devices). Las claves privadas sensibles se generan y custodian en HSM nivel **FIPS 140-2 Level 3** o superior.</w:t>
      </w:r>
      <w:r>
        <w:br/>
      </w:r>
      <w:r>
        <w:rPr>
          <w:rStyle w:val="VerbatimChar"/>
        </w:rPr>
        <w:t xml:space="preserve">{% endif %}</w:t>
      </w:r>
      <w:r>
        <w:br/>
      </w:r>
      <w:r>
        <w:br/>
      </w:r>
      <w:r>
        <w:rPr>
          <w:rStyle w:val="VerbatimChar"/>
        </w:rPr>
        <w:t xml:space="preserve">## 4. ROLES Y RESPONSABILIDADES</w:t>
      </w:r>
      <w:r>
        <w:br/>
      </w:r>
      <w:r>
        <w:br/>
      </w:r>
      <w:r>
        <w:rPr>
          <w:rStyle w:val="VerbatimChar"/>
        </w:rPr>
        <w:t xml:space="preserve">| Rol | Responsabilidades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**Responsable de la Seguridad** | Aprobar la PKI y los proveedores, establecer políticas de algoritmos, custodiar credenciales de la CA. |</w:t>
      </w:r>
      <w:r>
        <w:br/>
      </w:r>
      <w:r>
        <w:rPr>
          <w:rStyle w:val="VerbatimChar"/>
        </w:rPr>
        <w:t xml:space="preserve">| **Administrador PKI / Crypto Officer** | Operar la CA interna, emitir certificados, gestionar HSM. |</w:t>
      </w:r>
      <w:r>
        <w:br/>
      </w:r>
      <w:r>
        <w:rPr>
          <w:rStyle w:val="VerbatimChar"/>
        </w:rPr>
        <w:t xml:space="preserve">| **Solicitantes** (propietarios de servicio) | Solicitar certificados con las características adecuadas. |</w:t>
      </w:r>
      <w:r>
        <w:br/>
      </w:r>
      <w:r>
        <w:rPr>
          <w:rStyle w:val="VerbatimChar"/>
        </w:rPr>
        <w:t xml:space="preserve">| **Equipo de Operaciones** | Instalar y rotar certificados en sistemas, suscribirse a alertas de caducidad. |</w:t>
      </w:r>
      <w:r>
        <w:br/>
      </w:r>
      <w:r>
        <w:rPr>
          <w:rStyle w:val="VerbatimChar"/>
        </w:rPr>
        <w:t xml:space="preserve">| **DPO** | Validar certificados que tratan datos personales (firma documental, S/MIME). |</w:t>
      </w:r>
      <w:r>
        <w:br/>
      </w:r>
      <w:r>
        <w:br/>
      </w:r>
      <w:r>
        <w:rPr>
          <w:rStyle w:val="VerbatimChar"/>
        </w:rPr>
        <w:t xml:space="preserve">## 5. ALGORITMOS Y LONGITUDES MÍNIMAS APROBADAS</w:t>
      </w:r>
      <w:r>
        <w:br/>
      </w:r>
      <w:r>
        <w:br/>
      </w:r>
      <w:r>
        <w:rPr>
          <w:rStyle w:val="VerbatimChar"/>
        </w:rPr>
        <w:t xml:space="preserve">Conforme a la guía CCN-STIC 807 vigente:</w:t>
      </w:r>
      <w:r>
        <w:br/>
      </w:r>
      <w:r>
        <w:br/>
      </w:r>
      <w:r>
        <w:rPr>
          <w:rStyle w:val="VerbatimChar"/>
        </w:rPr>
        <w:t xml:space="preserve">| Uso | Algoritmo aprobado | Longitud mínima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RSA | RSA-2048 mínimo | 2048 bits (3072 recomendado para nuevos) |</w:t>
      </w:r>
      <w:r>
        <w:br/>
      </w:r>
      <w:r>
        <w:rPr>
          <w:rStyle w:val="VerbatimChar"/>
        </w:rPr>
        <w:t xml:space="preserve">| ECDSA | NIST P-256 / P-384 | 256 bits / 384 bits |</w:t>
      </w:r>
      <w:r>
        <w:br/>
      </w:r>
      <w:r>
        <w:rPr>
          <w:rStyle w:val="VerbatimChar"/>
        </w:rPr>
        <w:t xml:space="preserve">| Hash | SHA-256 mínimo | — (SHA-1 prohibido) |</w:t>
      </w:r>
      <w:r>
        <w:br/>
      </w:r>
      <w:r>
        <w:rPr>
          <w:rStyle w:val="VerbatimChar"/>
        </w:rPr>
        <w:t xml:space="preserve">| Firma cualificada | Conforme al QSCD del prestador | — |</w:t>
      </w:r>
      <w:r>
        <w:br/>
      </w:r>
      <w:r>
        <w:br/>
      </w:r>
      <w:r>
        <w:rPr>
          <w:rStyle w:val="VerbatimChar"/>
        </w:rPr>
        <w:t xml:space="preserve">Los certificados con algoritmos o longitudes inferiores se reemplazan en la próxima rotación o de forma anticipada si están en uso productivo.</w:t>
      </w:r>
      <w:r>
        <w:br/>
      </w:r>
      <w:r>
        <w:br/>
      </w:r>
      <w:r>
        <w:rPr>
          <w:rStyle w:val="VerbatimChar"/>
        </w:rPr>
        <w:t xml:space="preserve">## 6. CICLO DE VIDA DEL CERTIFICADO</w:t>
      </w:r>
      <w:r>
        <w:br/>
      </w:r>
      <w:r>
        <w:br/>
      </w:r>
      <w:r>
        <w:rPr>
          <w:rStyle w:val="VerbatimChar"/>
        </w:rPr>
        <w:t xml:space="preserve">### Fase 1 — Solicitud</w:t>
      </w:r>
      <w:r>
        <w:br/>
      </w:r>
      <w:r>
        <w:br/>
      </w:r>
      <w:r>
        <w:rPr>
          <w:rStyle w:val="VerbatimChar"/>
        </w:rPr>
        <w:t xml:space="preserve">1. El propietario de servicio cumplimenta el formulario **F-232 — Solicitud de Certificado** con:</w:t>
      </w:r>
      <w:r>
        <w:br/>
      </w:r>
      <w:r>
        <w:rPr>
          <w:rStyle w:val="VerbatimChar"/>
        </w:rPr>
        <w:t xml:space="preserve">   - Nombre común (CN) y SAN solicitados.</w:t>
      </w:r>
      <w:r>
        <w:br/>
      </w:r>
      <w:r>
        <w:rPr>
          <w:rStyle w:val="VerbatimChar"/>
        </w:rPr>
        <w:t xml:space="preserve">   - Uso previsto (servidor TLS, cliente, firma, etc.).</w:t>
      </w:r>
      <w:r>
        <w:br/>
      </w:r>
      <w:r>
        <w:rPr>
          <w:rStyle w:val="VerbatimChar"/>
        </w:rPr>
        <w:t xml:space="preserve">   - Periodo de validez deseado (máximo 397 días para TLS público, conforme a CA/B Forum).</w:t>
      </w:r>
      <w:r>
        <w:br/>
      </w:r>
      <w:r>
        <w:rPr>
          <w:rStyle w:val="VerbatimChar"/>
        </w:rPr>
        <w:t xml:space="preserve">   - Sistema o servicio donde se instalará.</w:t>
      </w:r>
      <w:r>
        <w:br/>
      </w:r>
      <w:r>
        <w:rPr>
          <w:rStyle w:val="VerbatimChar"/>
        </w:rPr>
        <w:t xml:space="preserve">   - Responsable funcional del servicio.</w:t>
      </w:r>
      <w:r>
        <w:br/>
      </w:r>
      <w:r>
        <w:br/>
      </w:r>
      <w:r>
        <w:rPr>
          <w:rStyle w:val="VerbatimChar"/>
        </w:rPr>
        <w:t xml:space="preserve">2. El Administrador PKI valida la coherencia de la solicitud (dominio efectivamente controlado, uso permitido).</w:t>
      </w:r>
      <w:r>
        <w:br/>
      </w:r>
      <w:r>
        <w:br/>
      </w:r>
      <w:r>
        <w:rPr>
          <w:rStyle w:val="VerbatimChar"/>
        </w:rPr>
        <w:t xml:space="preserve">### Fase 2 — Generación de claves y emisión</w:t>
      </w:r>
      <w:r>
        <w:br/>
      </w:r>
      <w:r>
        <w:br/>
      </w:r>
      <w:r>
        <w:rPr>
          <w:rStyle w:val="VerbatimChar"/>
        </w:rPr>
        <w:t xml:space="preserve">3. **Generación de la clave privada** en el sistema destino o en el HSM corporativo. Para certificados privilegiados (firma cualificada, CA intermedia), generación obligatoria en HSM con backup conforme al procedimiento M-of-N de {{ proyecto.codigo_documento_base }}-120.</w:t>
      </w:r>
      <w:r>
        <w:br/>
      </w:r>
      <w:r>
        <w:br/>
      </w:r>
      <w:r>
        <w:rPr>
          <w:rStyle w:val="VerbatimChar"/>
        </w:rPr>
        <w:t xml:space="preserve">4. **Generación del CSR** sin enviar la clave privada a la CA.</w:t>
      </w:r>
      <w:r>
        <w:br/>
      </w:r>
      <w:r>
        <w:br/>
      </w:r>
      <w:r>
        <w:rPr>
          <w:rStyle w:val="VerbatimChar"/>
        </w:rPr>
        <w:t xml:space="preserve">5. Emisión por la CA aprobada y descarga del certificado emitido.</w:t>
      </w:r>
      <w:r>
        <w:br/>
      </w:r>
      <w:r>
        <w:br/>
      </w:r>
      <w:r>
        <w:rPr>
          <w:rStyle w:val="VerbatimChar"/>
        </w:rPr>
        <w:t xml:space="preserve">6. Almacenamiento en el **inventario centralizado de certificados** (herramienta tipo CertManager, AppViewX, Venafi o similar) con:</w:t>
      </w:r>
      <w:r>
        <w:br/>
      </w:r>
      <w:r>
        <w:rPr>
          <w:rStyle w:val="VerbatimChar"/>
        </w:rPr>
        <w:t xml:space="preserve">   - CN, SAN, fingerprint.</w:t>
      </w:r>
      <w:r>
        <w:br/>
      </w:r>
      <w:r>
        <w:rPr>
          <w:rStyle w:val="VerbatimChar"/>
        </w:rPr>
        <w:t xml:space="preserve">   - Fechas de emisión y caducidad.</w:t>
      </w:r>
      <w:r>
        <w:br/>
      </w:r>
      <w:r>
        <w:rPr>
          <w:rStyle w:val="VerbatimChar"/>
        </w:rPr>
        <w:t xml:space="preserve">   - Sistema o servicio donde se instala.</w:t>
      </w:r>
      <w:r>
        <w:br/>
      </w:r>
      <w:r>
        <w:rPr>
          <w:rStyle w:val="VerbatimChar"/>
        </w:rPr>
        <w:t xml:space="preserve">   - Propietario funcional.</w:t>
      </w:r>
      <w:r>
        <w:br/>
      </w:r>
      <w:r>
        <w:rPr>
          <w:rStyle w:val="VerbatimChar"/>
        </w:rPr>
        <w:t xml:space="preserve">   - Algoritmo y longitud.</w:t>
      </w:r>
      <w:r>
        <w:br/>
      </w:r>
      <w:r>
        <w:rPr>
          <w:rStyle w:val="VerbatimChar"/>
        </w:rPr>
        <w:t xml:space="preserve">   - CA emisora.</w:t>
      </w:r>
      <w:r>
        <w:br/>
      </w:r>
      <w:r>
        <w:br/>
      </w:r>
      <w:r>
        <w:rPr>
          <w:rStyle w:val="VerbatimChar"/>
        </w:rPr>
        <w:t xml:space="preserve">### Fase 3 — Distribución e instalación</w:t>
      </w:r>
      <w:r>
        <w:br/>
      </w:r>
      <w:r>
        <w:br/>
      </w:r>
      <w:r>
        <w:rPr>
          <w:rStyle w:val="VerbatimChar"/>
        </w:rPr>
        <w:t xml:space="preserve">7. Distribución por canales seguros al sistema destino. La clave privada nunca se envía por correo electrónico, mensajería instantánea o herramientas similares; se utilizan canales cifrados (SSH, SCP, gestor de secretos como HashiCorp Vault, Azure Key Vault, AWS Secrets Manager).</w:t>
      </w:r>
      <w:r>
        <w:br/>
      </w:r>
      <w:r>
        <w:br/>
      </w:r>
      <w:r>
        <w:rPr>
          <w:rStyle w:val="VerbatimChar"/>
        </w:rPr>
        <w:t xml:space="preserve">8. Instalación con permisos mínimos: la clave privada solo es accesible por el proceso que la utiliza; en sistemas Linux con permisos 0400 al usuario del servicio.</w:t>
      </w:r>
      <w:r>
        <w:br/>
      </w:r>
      <w:r>
        <w:br/>
      </w:r>
      <w:r>
        <w:rPr>
          <w:rStyle w:val="VerbatimChar"/>
        </w:rPr>
        <w:t xml:space="preserve">9. Pruebas post-instalación: verificación con SSL Labs (puntuación A+ mínima en TLS público), curl/openssl en internos, validación funcional del servicio.</w:t>
      </w:r>
      <w:r>
        <w:br/>
      </w:r>
      <w:r>
        <w:br/>
      </w:r>
      <w:r>
        <w:rPr>
          <w:rStyle w:val="VerbatimChar"/>
        </w:rPr>
        <w:t xml:space="preserve">### Fase 4 — Operación</w:t>
      </w:r>
      <w:r>
        <w:br/>
      </w:r>
      <w:r>
        <w:br/>
      </w:r>
      <w:r>
        <w:rPr>
          <w:rStyle w:val="VerbatimChar"/>
        </w:rPr>
        <w:t xml:space="preserve">10. **Suscripción a alertas de caducidad:** el inventario alerta al propietario funcional y al Administrador PKI con:</w:t>
      </w:r>
      <w:r>
        <w:br/>
      </w:r>
      <w:r>
        <w:rPr>
          <w:rStyle w:val="VerbatimChar"/>
        </w:rPr>
        <w:t xml:space="preserve">    - 60 días antes (informativa).</w:t>
      </w:r>
      <w:r>
        <w:br/>
      </w:r>
      <w:r>
        <w:rPr>
          <w:rStyle w:val="VerbatimChar"/>
        </w:rPr>
        <w:t xml:space="preserve">    - 30 días antes (planificación de rotación).</w:t>
      </w:r>
      <w:r>
        <w:br/>
      </w:r>
      <w:r>
        <w:rPr>
          <w:rStyle w:val="VerbatimChar"/>
        </w:rPr>
        <w:t xml:space="preserve">    - 14 días antes (urgente).</w:t>
      </w:r>
      <w:r>
        <w:br/>
      </w:r>
      <w:r>
        <w:rPr>
          <w:rStyle w:val="VerbatimChar"/>
        </w:rPr>
        <w:t xml:space="preserve">    - 7 días antes (escalado al Responsable de Seguridad).</w:t>
      </w:r>
      <w:r>
        <w:br/>
      </w:r>
      <w:r>
        <w:br/>
      </w:r>
      <w:r>
        <w:rPr>
          <w:rStyle w:val="VerbatimChar"/>
        </w:rPr>
        <w:t xml:space="preserve">11. **Rotación regular:** preferencia por automatizar rotaciones cuando sea posible (ACME en Let's Encrypt, integración con cert-manager en Kubernetes, autorrenewal en proveedores cloud).</w:t>
      </w:r>
      <w:r>
        <w:br/>
      </w:r>
      <w:r>
        <w:br/>
      </w:r>
      <w:r>
        <w:rPr>
          <w:rStyle w:val="VerbatimChar"/>
        </w:rPr>
        <w:t xml:space="preserve">12. **Reporte mensual** del estado del inventario al Comité de Seguridad: certificados próximos a caducar, certificados con algoritmos a actualizar, certificados huérfanos.</w:t>
      </w:r>
      <w:r>
        <w:br/>
      </w:r>
      <w:r>
        <w:br/>
      </w:r>
      <w:r>
        <w:rPr>
          <w:rStyle w:val="VerbatimChar"/>
        </w:rPr>
        <w:t xml:space="preserve">### Fase 5 — Rotación / renovación</w:t>
      </w:r>
      <w:r>
        <w:br/>
      </w:r>
      <w:r>
        <w:br/>
      </w:r>
      <w:r>
        <w:rPr>
          <w:rStyle w:val="VerbatimChar"/>
        </w:rPr>
        <w:t xml:space="preserve">13. Generación de **nueva clave privada** en cada rotación (no se reutiliza la anterior).</w:t>
      </w:r>
      <w:r>
        <w:br/>
      </w:r>
      <w:r>
        <w:br/>
      </w:r>
      <w:r>
        <w:rPr>
          <w:rStyle w:val="VerbatimChar"/>
        </w:rPr>
        <w:t xml:space="preserve">14. Despliegue progresivo en sistemas con balanceo de carga; verificación de no caída de servicio.</w:t>
      </w:r>
      <w:r>
        <w:br/>
      </w:r>
      <w:r>
        <w:br/>
      </w:r>
      <w:r>
        <w:rPr>
          <w:rStyle w:val="VerbatimChar"/>
        </w:rPr>
        <w:t xml:space="preserve">15. Conservación del certificado anterior por 30 días para diagnóstico y rollback, tras lo cual se destruye conforme a {{ proyecto.codigo_documento_base }}-214.</w:t>
      </w:r>
      <w:r>
        <w:br/>
      </w:r>
      <w:r>
        <w:br/>
      </w:r>
      <w:r>
        <w:rPr>
          <w:rStyle w:val="VerbatimChar"/>
        </w:rPr>
        <w:t xml:space="preserve">### Fase 6 — Revocación</w:t>
      </w:r>
      <w:r>
        <w:br/>
      </w:r>
      <w:r>
        <w:br/>
      </w:r>
      <w:r>
        <w:rPr>
          <w:rStyle w:val="VerbatimChar"/>
        </w:rPr>
        <w:t xml:space="preserve">Procede la revocación inmediata cuando:</w:t>
      </w:r>
      <w:r>
        <w:br/>
      </w:r>
      <w:r>
        <w:br/>
      </w:r>
      <w:r>
        <w:rPr>
          <w:rStyle w:val="VerbatimChar"/>
        </w:rPr>
        <w:t xml:space="preserve">- La clave privada se sospecha comprometida.</w:t>
      </w:r>
      <w:r>
        <w:br/>
      </w:r>
      <w:r>
        <w:rPr>
          <w:rStyle w:val="VerbatimChar"/>
        </w:rPr>
        <w:t xml:space="preserve">- El servicio asociado deja de existir.</w:t>
      </w:r>
      <w:r>
        <w:br/>
      </w:r>
      <w:r>
        <w:rPr>
          <w:rStyle w:val="VerbatimChar"/>
        </w:rPr>
        <w:t xml:space="preserve">- Se detecta emisión incorrecta o no autorizada.</w:t>
      </w:r>
      <w:r>
        <w:br/>
      </w:r>
      <w:r>
        <w:rPr>
          <w:rStyle w:val="VerbatimChar"/>
        </w:rPr>
        <w:t xml:space="preserve">- El propietario funcional cesa sin reasignación.</w:t>
      </w:r>
      <w:r>
        <w:br/>
      </w:r>
      <w:r>
        <w:br/>
      </w:r>
      <w:r>
        <w:rPr>
          <w:rStyle w:val="VerbatimChar"/>
        </w:rPr>
        <w:t xml:space="preserve">16. Solicitud de revocación a la CA por el canal autorizado (API, panel del proveedor).</w:t>
      </w:r>
      <w:r>
        <w:br/>
      </w:r>
      <w:r>
        <w:br/>
      </w:r>
      <w:r>
        <w:rPr>
          <w:rStyle w:val="VerbatimChar"/>
        </w:rPr>
        <w:t xml:space="preserve">17. Verificación de la publicación en CRL/OCSP en menos de 24 horas.</w:t>
      </w:r>
      <w:r>
        <w:br/>
      </w:r>
      <w:r>
        <w:br/>
      </w:r>
      <w:r>
        <w:rPr>
          <w:rStyle w:val="VerbatimChar"/>
        </w:rPr>
        <w:t xml:space="preserve">18. Comunicación al SOC para refuerzo de monitorización en caso de revocación por compromiso.</w:t>
      </w:r>
      <w:r>
        <w:br/>
      </w:r>
      <w:r>
        <w:br/>
      </w:r>
      <w:r>
        <w:rPr>
          <w:rStyle w:val="VerbatimChar"/>
        </w:rPr>
        <w:t xml:space="preserve">19. Si afectaba a datos personales, evaluación con el DPO de obligaciones de notificación.</w:t>
      </w:r>
      <w:r>
        <w:br/>
      </w:r>
      <w:r>
        <w:br/>
      </w:r>
      <w:r>
        <w:rPr>
          <w:rStyle w:val="VerbatimChar"/>
        </w:rPr>
        <w:t xml:space="preserve">## 7. CONTROLES DE LA AUTORIDAD INTERNA (PKI corporativa)</w:t>
      </w:r>
      <w:r>
        <w:br/>
      </w:r>
      <w:r>
        <w:br/>
      </w:r>
      <w:r>
        <w:rPr>
          <w:rStyle w:val="VerbatimChar"/>
        </w:rPr>
        <w:t xml:space="preserve">Cuando {{ cliente.razon_social }} opera CA propia:</w:t>
      </w:r>
      <w:r>
        <w:br/>
      </w:r>
      <w:r>
        <w:br/>
      </w:r>
      <w:r>
        <w:rPr>
          <w:rStyle w:val="VerbatimChar"/>
        </w:rPr>
        <w:t xml:space="preserve">- **CA raíz offline** custodiada en sala segura con doble llave; activación solo para firmar CAs intermedias.</w:t>
      </w:r>
      <w:r>
        <w:br/>
      </w:r>
      <w:r>
        <w:rPr>
          <w:rStyle w:val="VerbatimChar"/>
        </w:rPr>
        <w:t xml:space="preserve">- **CAs intermedias** operativas con HSM, backup y separación de roles.</w:t>
      </w:r>
      <w:r>
        <w:br/>
      </w:r>
      <w:r>
        <w:rPr>
          <w:rStyle w:val="VerbatimChar"/>
        </w:rPr>
        <w:t xml:space="preserve">- **CRL y OCSP** publicados en endpoint accesible y monitorizado (uptime ≥ 99,9 %).</w:t>
      </w:r>
      <w:r>
        <w:br/>
      </w:r>
      <w:r>
        <w:rPr>
          <w:rStyle w:val="VerbatimChar"/>
        </w:rPr>
        <w:t xml:space="preserve">- **Auditoría anual** de la PKI por tercero independiente (alineada con WebTrust o similar para CAs externas, o según buenas prácticas internas).</w:t>
      </w:r>
      <w:r>
        <w:br/>
      </w:r>
      <w:r>
        <w:rPr>
          <w:rStyle w:val="VerbatimChar"/>
        </w:rPr>
        <w:t xml:space="preserve">- **Plan de renovación** de la jerarquía con antelación mínima de 12 meses respecto a la caducidad de la raíz.</w:t>
      </w:r>
      <w:r>
        <w:br/>
      </w:r>
      <w:r>
        <w:br/>
      </w:r>
      <w:r>
        <w:rPr>
          <w:rStyle w:val="VerbatimChar"/>
        </w:rPr>
        <w:t xml:space="preserve">## 8. INTEGRACIÓN CON OTROS PROCEDIMIENTOS</w:t>
      </w:r>
      <w:r>
        <w:br/>
      </w:r>
      <w:r>
        <w:br/>
      </w:r>
      <w:r>
        <w:rPr>
          <w:rStyle w:val="VerbatimChar"/>
        </w:rPr>
        <w:t xml:space="preserve">| Procedimiento | Relación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{{ proyecto.codigo_documento_base }}-120 (Política de claves) | Define el marco que este procedimiento ejecuta para certificados. |</w:t>
      </w:r>
      <w:r>
        <w:br/>
      </w:r>
      <w:r>
        <w:rPr>
          <w:rStyle w:val="VerbatimChar"/>
        </w:rPr>
        <w:t xml:space="preserve">| {{ proyecto.codigo_documento_base }}-204 (Incidentes) | Compromiso de clave privada se gestiona como incidente. |</w:t>
      </w:r>
      <w:r>
        <w:br/>
      </w:r>
      <w:r>
        <w:rPr>
          <w:rStyle w:val="VerbatimChar"/>
        </w:rPr>
        <w:t xml:space="preserve">| {{ proyecto.codigo_documento_base }}-211 (Cuentas privilegiadas) | Las cuentas de PKI son privilegiadas y siguen su régimen. |</w:t>
      </w:r>
      <w:r>
        <w:br/>
      </w:r>
      <w:r>
        <w:rPr>
          <w:rStyle w:val="VerbatimChar"/>
        </w:rPr>
        <w:t xml:space="preserve">| {{ proyecto.codigo_documento_base }}-218 (Auditoría interna) | El inventario de certificados se audita anualmente. |</w:t>
      </w:r>
      <w:r>
        <w:br/>
      </w:r>
      <w:r>
        <w:br/>
      </w:r>
      <w:r>
        <w:rPr>
          <w:rStyle w:val="VerbatimChar"/>
        </w:rPr>
        <w:t xml:space="preserve">## 9. REGISTROS GENERADOS</w:t>
      </w:r>
      <w:r>
        <w:br/>
      </w:r>
      <w:r>
        <w:br/>
      </w:r>
      <w:r>
        <w:rPr>
          <w:rStyle w:val="VerbatimChar"/>
        </w:rPr>
        <w:t xml:space="preserve">| Código | Registro | Conservación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F-232 | Solicitud de Certificado | Vigente + 6 años |</w:t>
      </w:r>
      <w:r>
        <w:br/>
      </w:r>
      <w:r>
        <w:rPr>
          <w:rStyle w:val="VerbatimChar"/>
        </w:rPr>
        <w:t xml:space="preserve">| INV-cert | Inventario de Certificados | Permanente |</w:t>
      </w:r>
      <w:r>
        <w:br/>
      </w:r>
      <w:r>
        <w:rPr>
          <w:rStyle w:val="VerbatimChar"/>
        </w:rPr>
        <w:t xml:space="preserve">| L-232 | Logs de la CA y del HSM | 6 años |</w:t>
      </w:r>
      <w:r>
        <w:br/>
      </w:r>
      <w:r>
        <w:rPr>
          <w:rStyle w:val="VerbatimChar"/>
        </w:rPr>
        <w:t xml:space="preserve">| R-232.1 | Reporte mensual de estado | 3 años |</w:t>
      </w:r>
      <w:r>
        <w:br/>
      </w:r>
      <w:r>
        <w:rPr>
          <w:rStyle w:val="VerbatimChar"/>
        </w:rPr>
        <w:t xml:space="preserve">| R-232.2 | Actas de rotación / revocación significativa | 6 años |</w:t>
      </w:r>
      <w:r>
        <w:br/>
      </w:r>
      <w:r>
        <w:br/>
      </w:r>
      <w:r>
        <w:rPr>
          <w:rStyle w:val="VerbatimChar"/>
        </w:rPr>
        <w:t xml:space="preserve">## 10. INDICADORES (KPI)</w:t>
      </w:r>
      <w:r>
        <w:br/>
      </w:r>
      <w:r>
        <w:br/>
      </w:r>
      <w:r>
        <w:rPr>
          <w:rStyle w:val="VerbatimChar"/>
        </w:rPr>
        <w:t xml:space="preserve">| Indicador | Fórmula | Objetivo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Certificados caducados activos | recuento | 0 |</w:t>
      </w:r>
      <w:r>
        <w:br/>
      </w:r>
      <w:r>
        <w:rPr>
          <w:rStyle w:val="VerbatimChar"/>
        </w:rPr>
        <w:t xml:space="preserve">| % rotaciones automatizadas | automáticas / total | ≥ 80 % |</w:t>
      </w:r>
      <w:r>
        <w:br/>
      </w:r>
      <w:r>
        <w:rPr>
          <w:rStyle w:val="VerbatimChar"/>
        </w:rPr>
        <w:t xml:space="preserve">| % certificados conformes con CCN-STIC 807 | conformes / total | 100 % |</w:t>
      </w:r>
      <w:r>
        <w:br/>
      </w:r>
      <w:r>
        <w:rPr>
          <w:rStyle w:val="VerbatimChar"/>
        </w:rPr>
        <w:t xml:space="preserve">| Tiempo medio de revocación tras solicitud | media horas | ≤ 4 |</w:t>
      </w:r>
      <w:r>
        <w:br/>
      </w:r>
      <w:r>
        <w:rPr>
          <w:rStyle w:val="VerbatimChar"/>
        </w:rPr>
        <w:t xml:space="preserve">| Cobertura del inventario | certificados inventariados / detectados (descubrimiento) | ≥ 98 % |</w:t>
      </w:r>
      <w:r>
        <w:br/>
      </w:r>
      <w:r>
        <w:br/>
      </w:r>
      <w:r>
        <w:rPr>
          <w:rStyle w:val="VerbatimChar"/>
        </w:rPr>
        <w:t xml:space="preserve">## 11. REVISIÓN</w:t>
      </w:r>
      <w:r>
        <w:br/>
      </w:r>
      <w:r>
        <w:br/>
      </w:r>
      <w:r>
        <w:rPr>
          <w:rStyle w:val="VerbatimChar"/>
        </w:rPr>
        <w:t xml:space="preserve">Este procedimiento se revisa **anualmente** o cuando:</w:t>
      </w:r>
      <w:r>
        <w:br/>
      </w:r>
      <w:r>
        <w:br/>
      </w:r>
      <w:r>
        <w:rPr>
          <w:rStyle w:val="VerbatimChar"/>
        </w:rPr>
        <w:t xml:space="preserve">- Cambien las recomendaciones de algoritmos en CCN-STIC 807.</w:t>
      </w:r>
      <w:r>
        <w:br/>
      </w:r>
      <w:r>
        <w:rPr>
          <w:rStyle w:val="VerbatimChar"/>
        </w:rPr>
        <w:t xml:space="preserve">- Cambie la lista TSL de prestadores cualificados que se utilizan.</w:t>
      </w:r>
      <w:r>
        <w:br/>
      </w:r>
      <w:r>
        <w:rPr>
          <w:rStyle w:val="VerbatimChar"/>
        </w:rPr>
        <w:t xml:space="preserve">- Se modifique la PKI corporativa.</w:t>
      </w:r>
      <w:r>
        <w:br/>
      </w:r>
      <w:r>
        <w:rPr>
          <w:rStyle w:val="VerbatimChar"/>
        </w:rPr>
        <w:t xml:space="preserve">- Aparezcan vulnerabilidades en algoritmos previamente aprobados.</w:t>
      </w:r>
      <w:r>
        <w:br/>
      </w:r>
      <w:r>
        <w:rPr>
          <w:rStyle w:val="VerbatimChar"/>
        </w:rPr>
        <w:t xml:space="preserve">- Se modifique el régimen eIDAS.</w:t>
      </w:r>
      <w:r>
        <w:br/>
      </w:r>
      <w:r>
        <w:br/>
      </w:r>
      <w:r>
        <w:rPr>
          <w:rStyle w:val="VerbatimChar"/>
        </w:rPr>
        <w:t xml:space="preserve">Responsabilidad: **Responsable de la Seguridad** + **Administrador PKI**, con aprobación del **Comité de Seguridad**.</w:t>
      </w:r>
    </w:p>
    <w:bookmarkEnd w:id="2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E-232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E-232 · Documento E-232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2026-06-11T23:44:32Z</dcterms:created>
  <dcterms:modified xsi:type="dcterms:W3CDTF">2026-06-11T23:44:32Z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