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akilii</w:t>
      </w:r>
    </w:p>
    <w:p>
      <w:pPr>
        <w:pStyle w:val="Title"/>
      </w:pPr>
      <w:r>
        <w:t>V0.1 development plan</w:t>
      </w:r>
    </w:p>
    <w:p>
      <w:pPr>
        <w:pStyle w:val="Subtitle"/>
      </w:pPr>
      <w:r>
        <w:t>From a reproducible shell to a governed closed beta</w:t>
      </w:r>
    </w:p>
    <w:p>
      <w:r>
        <w:t>05 September – 05 October 2026</w:t>
      </w:r>
    </w:p>
    <w:p>
      <w:r>
        <w:t>André Skepple  /  George Nangle</w:t>
      </w:r>
    </w:p>
    <w:p>
      <w:pPr>
        <w:pStyle w:val="Heading2"/>
      </w:pPr>
      <w:r>
        <w:t>Delivery commitment</w:t>
      </w:r>
    </w:p>
    <w:p>
      <w:r>
        <w:t>Deliver a responsive, authenticated Personal Support Intelligence web application in which an invited individual can complete one useful, persistent loop: Understand → Support → Act → Outcome → Learn.</w:t>
      </w:r>
    </w:p>
    <w:tbl>
      <w:tblPr>
        <w:tblW w:type="auto" w:w="0"/>
        <w:tblLayout w:type="fixed"/>
        <w:tblLook w:firstColumn="1" w:firstRow="1" w:lastColumn="0" w:lastRow="0" w:noHBand="0" w:noVBand="1" w:val="04A0"/>
      </w:tblPr>
      <w:tblGrid>
        <w:gridCol w:w="2232"/>
        <w:gridCol w:w="7560"/>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Control</w:t>
            </w:r>
          </w:p>
        </w:tc>
        <w:tc>
          <w:tcPr>
            <w:tcW w:type="dxa" w:w="4917"/>
            <w:shd w:fill="163C43"/>
            <w:tcMar>
              <w:top w:w="85" w:type="dxa"/>
              <w:left w:w="85" w:type="dxa"/>
              <w:bottom w:w="85" w:type="dxa"/>
              <w:right w:w="85" w:type="dxa"/>
            </w:tcMar>
          </w:tcPr>
          <w:p>
            <w:pPr>
              <w:spacing w:after="60" w:line="245" w:lineRule="auto"/>
            </w:pPr>
            <w:r>
              <w:rPr>
                <w:b/>
                <w:color w:val="FFFFFF"/>
                <w:sz w:val="18"/>
              </w:rPr>
              <w:t>Plan baseline</w:t>
            </w:r>
          </w:p>
        </w:tc>
      </w:tr>
      <w:tr>
        <w:trPr>
          <w:cantSplit/>
        </w:trPr>
        <w:tc>
          <w:tcPr>
            <w:tcW w:type="dxa" w:w="2232"/>
            <w:shd w:fill="EFF5F4"/>
            <w:tcMar>
              <w:top w:w="85" w:type="dxa"/>
              <w:left w:w="85" w:type="dxa"/>
              <w:bottom w:w="85" w:type="dxa"/>
              <w:right w:w="85" w:type="dxa"/>
            </w:tcMar>
          </w:tcPr>
          <w:p>
            <w:pPr>
              <w:spacing w:after="60" w:line="245" w:lineRule="auto"/>
            </w:pPr>
            <w:r>
              <w:rPr>
                <w:sz w:val="18"/>
              </w:rPr>
              <w:t>Target release</w:t>
            </w:r>
          </w:p>
        </w:tc>
        <w:tc>
          <w:tcPr>
            <w:tcW w:type="dxa" w:w="7560"/>
            <w:shd w:fill="EFF5F4"/>
            <w:tcMar>
              <w:top w:w="85" w:type="dxa"/>
              <w:left w:w="85" w:type="dxa"/>
              <w:bottom w:w="85" w:type="dxa"/>
              <w:right w:w="85" w:type="dxa"/>
            </w:tcMar>
          </w:tcPr>
          <w:p>
            <w:pPr>
              <w:spacing w:after="60" w:line="245" w:lineRule="auto"/>
            </w:pPr>
            <w:r>
              <w:rPr>
                <w:sz w:val="18"/>
              </w:rPr>
              <w:t>Monday 05 October 2026 • closed beta, not public launch</w:t>
            </w:r>
          </w:p>
        </w:tc>
      </w:tr>
      <w:tr>
        <w:trPr>
          <w:cantSplit/>
        </w:trPr>
        <w:tc>
          <w:tcPr>
            <w:tcW w:type="dxa" w:w="2232"/>
            <w:shd w:fill="FFFFFF"/>
            <w:tcMar>
              <w:top w:w="85" w:type="dxa"/>
              <w:left w:w="85" w:type="dxa"/>
              <w:bottom w:w="85" w:type="dxa"/>
              <w:right w:w="85" w:type="dxa"/>
            </w:tcMar>
          </w:tcPr>
          <w:p>
            <w:pPr>
              <w:spacing w:after="60" w:line="245" w:lineRule="auto"/>
            </w:pPr>
            <w:r>
              <w:rPr>
                <w:sz w:val="18"/>
              </w:rPr>
              <w:t>Product, UX and canon</w:t>
            </w:r>
          </w:p>
        </w:tc>
        <w:tc>
          <w:tcPr>
            <w:tcW w:type="dxa" w:w="7560"/>
            <w:shd w:fill="FFFFFF"/>
            <w:tcMar>
              <w:top w:w="85" w:type="dxa"/>
              <w:left w:w="85" w:type="dxa"/>
              <w:bottom w:w="85" w:type="dxa"/>
              <w:right w:w="85" w:type="dxa"/>
            </w:tcMar>
          </w:tcPr>
          <w:p>
            <w:pPr>
              <w:spacing w:after="60" w:line="245" w:lineRule="auto"/>
            </w:pPr>
            <w:r>
              <w:rPr>
                <w:sz w:val="18"/>
              </w:rPr>
              <w:t>André Skepple</w:t>
            </w:r>
          </w:p>
        </w:tc>
      </w:tr>
      <w:tr>
        <w:trPr>
          <w:cantSplit/>
        </w:trPr>
        <w:tc>
          <w:tcPr>
            <w:tcW w:type="dxa" w:w="2232"/>
            <w:shd w:fill="EFF5F4"/>
            <w:tcMar>
              <w:top w:w="85" w:type="dxa"/>
              <w:left w:w="85" w:type="dxa"/>
              <w:bottom w:w="85" w:type="dxa"/>
              <w:right w:w="85" w:type="dxa"/>
            </w:tcMar>
          </w:tcPr>
          <w:p>
            <w:pPr>
              <w:spacing w:after="60" w:line="245" w:lineRule="auto"/>
            </w:pPr>
            <w:r>
              <w:rPr>
                <w:sz w:val="18"/>
              </w:rPr>
              <w:t>Engineering and implementation</w:t>
            </w:r>
          </w:p>
        </w:tc>
        <w:tc>
          <w:tcPr>
            <w:tcW w:type="dxa" w:w="7560"/>
            <w:shd w:fill="EFF5F4"/>
            <w:tcMar>
              <w:top w:w="85" w:type="dxa"/>
              <w:left w:w="85" w:type="dxa"/>
              <w:bottom w:w="85" w:type="dxa"/>
              <w:right w:w="85" w:type="dxa"/>
            </w:tcMar>
          </w:tcPr>
          <w:p>
            <w:pPr>
              <w:spacing w:after="60" w:line="245" w:lineRule="auto"/>
            </w:pPr>
            <w:r>
              <w:rPr>
                <w:sz w:val="18"/>
              </w:rPr>
              <w:t>George Nangle</w:t>
            </w:r>
          </w:p>
        </w:tc>
      </w:tr>
      <w:tr>
        <w:trPr>
          <w:cantSplit/>
        </w:trPr>
        <w:tc>
          <w:tcPr>
            <w:tcW w:type="dxa" w:w="2232"/>
            <w:shd w:fill="FFFFFF"/>
            <w:tcMar>
              <w:top w:w="85" w:type="dxa"/>
              <w:left w:w="85" w:type="dxa"/>
              <w:bottom w:w="85" w:type="dxa"/>
              <w:right w:w="85" w:type="dxa"/>
            </w:tcMar>
          </w:tcPr>
          <w:p>
            <w:pPr>
              <w:spacing w:after="60" w:line="245" w:lineRule="auto"/>
            </w:pPr>
            <w:r>
              <w:rPr>
                <w:sz w:val="18"/>
              </w:rPr>
              <w:t>Release approval</w:t>
            </w:r>
          </w:p>
        </w:tc>
        <w:tc>
          <w:tcPr>
            <w:tcW w:type="dxa" w:w="7560"/>
            <w:shd w:fill="FFFFFF"/>
            <w:tcMar>
              <w:top w:w="85" w:type="dxa"/>
              <w:left w:w="85" w:type="dxa"/>
              <w:bottom w:w="85" w:type="dxa"/>
              <w:right w:w="85" w:type="dxa"/>
            </w:tcMar>
          </w:tcPr>
          <w:p>
            <w:pPr>
              <w:spacing w:after="60" w:line="245" w:lineRule="auto"/>
            </w:pPr>
            <w:r>
              <w:rPr>
                <w:sz w:val="18"/>
              </w:rPr>
              <w:t>Joint: André accepts product value; George accepts technical readiness</w:t>
            </w:r>
          </w:p>
        </w:tc>
      </w:tr>
      <w:tr>
        <w:trPr>
          <w:cantSplit/>
        </w:trPr>
        <w:tc>
          <w:tcPr>
            <w:tcW w:type="dxa" w:w="2232"/>
            <w:shd w:fill="EFF5F4"/>
            <w:tcMar>
              <w:top w:w="85" w:type="dxa"/>
              <w:left w:w="85" w:type="dxa"/>
              <w:bottom w:w="85" w:type="dxa"/>
              <w:right w:w="85" w:type="dxa"/>
            </w:tcMar>
          </w:tcPr>
          <w:p>
            <w:pPr>
              <w:spacing w:after="60" w:line="245" w:lineRule="auto"/>
            </w:pPr>
            <w:r>
              <w:rPr>
                <w:sz w:val="18"/>
              </w:rPr>
              <w:t>Plan revision</w:t>
            </w:r>
          </w:p>
        </w:tc>
        <w:tc>
          <w:tcPr>
            <w:tcW w:type="dxa" w:w="7560"/>
            <w:shd w:fill="EFF5F4"/>
            <w:tcMar>
              <w:top w:w="85" w:type="dxa"/>
              <w:left w:w="85" w:type="dxa"/>
              <w:bottom w:w="85" w:type="dxa"/>
              <w:right w:w="85" w:type="dxa"/>
            </w:tcMar>
          </w:tcPr>
          <w:p>
            <w:pPr>
              <w:spacing w:after="60" w:line="245" w:lineRule="auto"/>
            </w:pPr>
            <w:r>
              <w:rPr>
                <w:sz w:val="18"/>
              </w:rPr>
              <w:t>1.0 • 05 September 2026 • proposed delivery baseline for joint adoption</w:t>
            </w:r>
          </w:p>
        </w:tc>
      </w:tr>
      <w:tr>
        <w:trPr>
          <w:cantSplit/>
        </w:trPr>
        <w:tc>
          <w:tcPr>
            <w:tcW w:type="dxa" w:w="2232"/>
            <w:shd w:fill="FFFFFF"/>
            <w:tcMar>
              <w:top w:w="85" w:type="dxa"/>
              <w:left w:w="85" w:type="dxa"/>
              <w:bottom w:w="85" w:type="dxa"/>
              <w:right w:w="85" w:type="dxa"/>
            </w:tcMar>
          </w:tcPr>
          <w:p>
            <w:pPr>
              <w:spacing w:after="60" w:line="245" w:lineRule="auto"/>
            </w:pPr>
            <w:r>
              <w:rPr>
                <w:sz w:val="18"/>
              </w:rPr>
              <w:t>Release scope</w:t>
            </w:r>
          </w:p>
        </w:tc>
        <w:tc>
          <w:tcPr>
            <w:tcW w:type="dxa" w:w="7560"/>
            <w:shd w:fill="FFFFFF"/>
            <w:tcMar>
              <w:top w:w="85" w:type="dxa"/>
              <w:left w:w="85" w:type="dxa"/>
              <w:bottom w:w="85" w:type="dxa"/>
              <w:right w:w="85" w:type="dxa"/>
            </w:tcMar>
          </w:tcPr>
          <w:p>
            <w:pPr>
              <w:spacing w:after="60" w:line="245" w:lineRule="auto"/>
            </w:pPr>
            <w:r>
              <w:rPr>
                <w:sz w:val="18"/>
              </w:rPr>
              <w:t>One supported scenario; Home, Chat and Work; user-governed NPR; one real runtime workflow</w:t>
            </w:r>
          </w:p>
        </w:tc>
      </w:tr>
      <w:tr>
        <w:trPr>
          <w:cantSplit/>
        </w:trPr>
        <w:tc>
          <w:tcPr>
            <w:tcW w:type="dxa" w:w="2232"/>
            <w:shd w:fill="EFF5F4"/>
            <w:tcMar>
              <w:top w:w="85" w:type="dxa"/>
              <w:left w:w="85" w:type="dxa"/>
              <w:bottom w:w="85" w:type="dxa"/>
              <w:right w:w="85" w:type="dxa"/>
            </w:tcMar>
          </w:tcPr>
          <w:p>
            <w:pPr>
              <w:spacing w:after="60" w:line="245" w:lineRule="auto"/>
            </w:pPr>
            <w:r>
              <w:rPr>
                <w:sz w:val="18"/>
              </w:rPr>
              <w:t>Planning rule</w:t>
            </w:r>
          </w:p>
        </w:tc>
        <w:tc>
          <w:tcPr>
            <w:tcW w:type="dxa" w:w="7560"/>
            <w:shd w:fill="EFF5F4"/>
            <w:tcMar>
              <w:top w:w="85" w:type="dxa"/>
              <w:left w:w="85" w:type="dxa"/>
              <w:bottom w:w="85" w:type="dxa"/>
              <w:right w:w="85" w:type="dxa"/>
            </w:tcMar>
          </w:tcPr>
          <w:p>
            <w:pPr>
              <w:spacing w:after="60" w:line="245" w:lineRule="auto"/>
            </w:pPr>
            <w:r>
              <w:rPr>
                <w:sz w:val="18"/>
              </w:rPr>
              <w:t>Increment dates, capacity and numerical thresholds are proposed commitments, to be locked at kickoff.</w:t>
            </w:r>
          </w:p>
        </w:tc>
      </w:tr>
    </w:tbl>
    <w:p/>
    <w:p>
      <w:pPr>
        <w:pStyle w:val="Heading2"/>
      </w:pPr>
      <w:r>
        <w:t>Protect the date by protecting the loop</w:t>
      </w:r>
    </w:p>
    <w:p>
      <w:r>
        <w:t>Build V0.01 through V0.09 as cumulative proof gates, then release V0.1. Cut breadth before cutting user control, isolation, runtime truth, reproducibility or recovery. A mock-only demonstration is not the closed beta.</w:t>
      </w:r>
    </w:p>
    <w:p>
      <w:pPr>
        <w:pStyle w:val="Heading2"/>
      </w:pPr>
      <w:r>
        <w:t>Document map</w:t>
      </w:r>
    </w:p>
    <w:p>
      <w:r>
        <w:t>1–6  Delivery mandate, calendar, ownership, canon, architecture and data</w:t>
        <w:br/>
        <w:t>7–16  Ten increment contracts: V0.01 through V0.1</w:t>
        <w:br/>
        <w:t>17–22  Assurance, operations, risks, release checklist and source register</w:t>
      </w:r>
    </w:p>
    <w:p>
      <w:r>
        <w:br w:type="page"/>
      </w:r>
    </w:p>
    <w:p>
      <w:pPr>
        <w:pStyle w:val="Subtitle"/>
      </w:pPr>
      <w:r>
        <w:t>1 • DELIVERY MANDATE</w:t>
      </w:r>
    </w:p>
    <w:p>
      <w:pPr>
        <w:pStyle w:val="Heading1"/>
      </w:pPr>
      <w:r>
        <w:t>One useful loop, delivered safely</w:t>
      </w:r>
    </w:p>
    <w:p>
      <w:r>
        <w:t>The 05 September call establishes incremental delivery, separately classified Figma references, André’s product/design/documentation ownership, George’s implementation and technical challenge rights, and a replaceable runtime boundary. It also records unused Azure charges and a need to prove the build locally. [S1]</w:t>
      </w:r>
    </w:p>
    <w:p>
      <w:pPr>
        <w:pStyle w:val="Heading2"/>
      </w:pPr>
      <w:r>
        <w:t>Product floor for 05 October</w:t>
      </w:r>
    </w:p>
    <w:p>
      <w:pPr>
        <w:pStyle w:val="ListBullet"/>
      </w:pPr>
      <w:r>
        <w:t>An invited user signs in, skips or completes short discovery, and confirms an initial personal-context item without a mandatory assessment.</w:t>
      </w:r>
    </w:p>
    <w:p>
      <w:pPr>
        <w:pStyle w:val="ListBullet"/>
      </w:pPr>
      <w:r>
        <w:t>Home orients the user; Chat provides contextual support; an explicit Start Work action creates a persisted task/artefact in Work.</w:t>
      </w:r>
    </w:p>
    <w:p>
      <w:pPr>
        <w:pStyle w:val="ListBullet"/>
      </w:pPr>
      <w:r>
        <w:t>One real specialist/tool workflow produces a useful result. The user records an outcome, reviews an evidence-linked learning proposal, and sees a later interaction use only confirmed eligible learning.</w:t>
      </w:r>
    </w:p>
    <w:p>
      <w:pPr>
        <w:pStyle w:val="ListBullet"/>
      </w:pPr>
      <w:r>
        <w:t>The user can inspect, correct, restrict, export and delete material personal context. Returning to the application preserves approved state.</w:t>
      </w:r>
    </w:p>
    <w:p>
      <w:pPr>
        <w:pStyle w:val="Heading2"/>
      </w:pPr>
      <w:r>
        <w:t>Reference scenario and scope boundaries</w:t>
      </w:r>
    </w:p>
    <w:p>
      <w:r>
        <w:t>Proposed golden scenario: “Help me prepare for a meeting.” The user supplies a short brief; akilii creates an editable meeting-preparation plan and three next actions. The workflow uses supplied content only. Completion feedback may propose a context-specific support preference. André confirms this scenario at kickoff; Research → Briefing may replace it only through a single-scenario scope decision. [S2, S5]</w:t>
      </w:r>
    </w:p>
    <w:tbl>
      <w:tblPr>
        <w:tblW w:type="auto" w:w="0"/>
        <w:tblLayout w:type="fixed"/>
        <w:tblLook w:firstColumn="1" w:firstRow="1" w:lastColumn="0" w:lastRow="0" w:noHBand="0" w:noVBand="1" w:val="04A0"/>
      </w:tblPr>
      <w:tblGrid>
        <w:gridCol w:w="4608"/>
        <w:gridCol w:w="5184"/>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Keep in V0.1</w:t>
            </w:r>
          </w:p>
        </w:tc>
        <w:tc>
          <w:tcPr>
            <w:tcW w:type="dxa" w:w="4917"/>
            <w:shd w:fill="163C43"/>
            <w:tcMar>
              <w:top w:w="85" w:type="dxa"/>
              <w:left w:w="85" w:type="dxa"/>
              <w:bottom w:w="85" w:type="dxa"/>
              <w:right w:w="85" w:type="dxa"/>
            </w:tcMar>
          </w:tcPr>
          <w:p>
            <w:pPr>
              <w:spacing w:after="60" w:line="245" w:lineRule="auto"/>
            </w:pPr>
            <w:r>
              <w:rPr>
                <w:b/>
                <w:color w:val="FFFFFF"/>
                <w:sz w:val="18"/>
              </w:rPr>
              <w:t>Keep outside V0.1</w:t>
            </w:r>
          </w:p>
        </w:tc>
      </w:tr>
      <w:tr>
        <w:trPr>
          <w:cantSplit/>
        </w:trPr>
        <w:tc>
          <w:tcPr>
            <w:tcW w:type="dxa" w:w="4608"/>
            <w:shd w:fill="EFF5F4"/>
            <w:tcMar>
              <w:top w:w="85" w:type="dxa"/>
              <w:left w:w="85" w:type="dxa"/>
              <w:bottom w:w="85" w:type="dxa"/>
              <w:right w:w="85" w:type="dxa"/>
            </w:tcMar>
          </w:tcPr>
          <w:p>
            <w:pPr>
              <w:spacing w:after="60" w:line="245" w:lineRule="auto"/>
            </w:pPr>
            <w:r>
              <w:rPr>
                <w:sz w:val="18"/>
              </w:rPr>
              <w:t>Personal use; responsive web; one project/task path</w:t>
            </w:r>
          </w:p>
        </w:tc>
        <w:tc>
          <w:tcPr>
            <w:tcW w:type="dxa" w:w="5184"/>
            <w:shd w:fill="EFF5F4"/>
            <w:tcMar>
              <w:top w:w="85" w:type="dxa"/>
              <w:left w:w="85" w:type="dxa"/>
              <w:bottom w:w="85" w:type="dxa"/>
              <w:right w:w="85" w:type="dxa"/>
            </w:tcMar>
          </w:tcPr>
          <w:p>
            <w:pPr>
              <w:spacing w:after="60" w:line="245" w:lineRule="auto"/>
            </w:pPr>
            <w:r>
              <w:rPr>
                <w:sz w:val="18"/>
              </w:rPr>
              <w:t>Institutional tenancy, collaboration, school/clinical workflows, native apps</w:t>
            </w:r>
          </w:p>
        </w:tc>
      </w:tr>
      <w:tr>
        <w:trPr>
          <w:cantSplit/>
        </w:trPr>
        <w:tc>
          <w:tcPr>
            <w:tcW w:type="dxa" w:w="4608"/>
            <w:shd w:fill="FFFFFF"/>
            <w:tcMar>
              <w:top w:w="85" w:type="dxa"/>
              <w:left w:w="85" w:type="dxa"/>
              <w:bottom w:w="85" w:type="dxa"/>
              <w:right w:w="85" w:type="dxa"/>
            </w:tcMar>
          </w:tcPr>
          <w:p>
            <w:pPr>
              <w:spacing w:after="60" w:line="245" w:lineRule="auto"/>
            </w:pPr>
            <w:r>
              <w:rPr>
                <w:sz w:val="18"/>
              </w:rPr>
              <w:t>Minimal NPR lifecycle and AIMS-lite enforcement/events</w:t>
            </w:r>
          </w:p>
        </w:tc>
        <w:tc>
          <w:tcPr>
            <w:tcW w:type="dxa" w:w="5184"/>
            <w:shd w:fill="FFFFFF"/>
            <w:tcMar>
              <w:top w:w="85" w:type="dxa"/>
              <w:left w:w="85" w:type="dxa"/>
              <w:bottom w:w="85" w:type="dxa"/>
              <w:right w:w="85" w:type="dxa"/>
            </w:tcMar>
          </w:tcPr>
          <w:p>
            <w:pPr>
              <w:spacing w:after="60" w:line="245" w:lineRule="auto"/>
            </w:pPr>
            <w:r>
              <w:rPr>
                <w:sz w:val="18"/>
              </w:rPr>
              <w:t>Full NPR ontology/graph, full AIMS platform, full FS:One infrastructure</w:t>
            </w:r>
          </w:p>
        </w:tc>
      </w:tr>
      <w:tr>
        <w:trPr>
          <w:cantSplit/>
        </w:trPr>
        <w:tc>
          <w:tcPr>
            <w:tcW w:type="dxa" w:w="4608"/>
            <w:shd w:fill="EFF5F4"/>
            <w:tcMar>
              <w:top w:w="85" w:type="dxa"/>
              <w:left w:w="85" w:type="dxa"/>
              <w:bottom w:w="85" w:type="dxa"/>
              <w:right w:w="85" w:type="dxa"/>
            </w:tcMar>
          </w:tcPr>
          <w:p>
            <w:pPr>
              <w:spacing w:after="60" w:line="245" w:lineRule="auto"/>
            </w:pPr>
            <w:r>
              <w:rPr>
                <w:sz w:val="18"/>
              </w:rPr>
              <w:t>One bounded real workflow; explicit internal writes</w:t>
            </w:r>
          </w:p>
        </w:tc>
        <w:tc>
          <w:tcPr>
            <w:tcW w:type="dxa" w:w="5184"/>
            <w:shd w:fill="EFF5F4"/>
            <w:tcMar>
              <w:top w:w="85" w:type="dxa"/>
              <w:left w:w="85" w:type="dxa"/>
              <w:bottom w:w="85" w:type="dxa"/>
              <w:right w:w="85" w:type="dxa"/>
            </w:tcMar>
          </w:tcPr>
          <w:p>
            <w:pPr>
              <w:spacing w:after="60" w:line="245" w:lineRule="auto"/>
            </w:pPr>
            <w:r>
              <w:rPr>
                <w:sz w:val="18"/>
              </w:rPr>
              <w:t>Email/calendar actions, purchases, publishing, unrestricted MCP/shell/computer use</w:t>
            </w:r>
          </w:p>
        </w:tc>
      </w:tr>
      <w:tr>
        <w:trPr>
          <w:cantSplit/>
        </w:trPr>
        <w:tc>
          <w:tcPr>
            <w:tcW w:type="dxa" w:w="4608"/>
            <w:shd w:fill="FFFFFF"/>
            <w:tcMar>
              <w:top w:w="85" w:type="dxa"/>
              <w:left w:w="85" w:type="dxa"/>
              <w:bottom w:w="85" w:type="dxa"/>
              <w:right w:w="85" w:type="dxa"/>
            </w:tcMar>
          </w:tcPr>
          <w:p>
            <w:pPr>
              <w:spacing w:after="60" w:line="245" w:lineRule="auto"/>
            </w:pPr>
            <w:r>
              <w:rPr>
                <w:sz w:val="18"/>
              </w:rPr>
              <w:t>One tested default runtime plus mock for tests</w:t>
            </w:r>
          </w:p>
        </w:tc>
        <w:tc>
          <w:tcPr>
            <w:tcW w:type="dxa" w:w="5184"/>
            <w:shd w:fill="FFFFFF"/>
            <w:tcMar>
              <w:top w:w="85" w:type="dxa"/>
              <w:left w:w="85" w:type="dxa"/>
              <w:bottom w:w="85" w:type="dxa"/>
              <w:right w:w="85" w:type="dxa"/>
            </w:tcMar>
          </w:tcPr>
          <w:p>
            <w:pPr>
              <w:spacing w:after="60" w:line="245" w:lineRule="auto"/>
            </w:pPr>
            <w:r>
              <w:rPr>
                <w:sz w:val="18"/>
              </w:rPr>
              <w:t>Swarm breadth, custom model hosting, broad integrations, marketplace, vector search without evidence</w:t>
            </w:r>
          </w:p>
        </w:tc>
      </w:tr>
      <w:tr>
        <w:trPr>
          <w:cantSplit/>
        </w:trPr>
        <w:tc>
          <w:tcPr>
            <w:tcW w:type="dxa" w:w="4608"/>
            <w:shd w:fill="EFF5F4"/>
            <w:tcMar>
              <w:top w:w="85" w:type="dxa"/>
              <w:left w:w="85" w:type="dxa"/>
              <w:bottom w:w="85" w:type="dxa"/>
              <w:right w:w="85" w:type="dxa"/>
            </w:tcMar>
          </w:tcPr>
          <w:p>
            <w:pPr>
              <w:spacing w:after="60" w:line="245" w:lineRule="auto"/>
            </w:pPr>
            <w:r>
              <w:rPr>
                <w:sz w:val="18"/>
              </w:rPr>
              <w:t>Small invited beta; honest feedback and operating evidence</w:t>
            </w:r>
          </w:p>
        </w:tc>
        <w:tc>
          <w:tcPr>
            <w:tcW w:type="dxa" w:w="5184"/>
            <w:shd w:fill="EFF5F4"/>
            <w:tcMar>
              <w:top w:w="85" w:type="dxa"/>
              <w:left w:w="85" w:type="dxa"/>
              <w:bottom w:w="85" w:type="dxa"/>
              <w:right w:w="85" w:type="dxa"/>
            </w:tcMar>
          </w:tcPr>
          <w:p>
            <w:pPr>
              <w:spacing w:after="60" w:line="245" w:lineRule="auto"/>
            </w:pPr>
            <w:r>
              <w:rPr>
                <w:sz w:val="18"/>
              </w:rPr>
              <w:t>Diagnostic or therapeutic claims, public-beta scale, investor traction claims before observation</w:t>
            </w:r>
          </w:p>
        </w:tc>
      </w:tr>
    </w:tbl>
    <w:p/>
    <w:p>
      <w:pPr>
        <w:pStyle w:val="Heading2"/>
      </w:pPr>
      <w:r>
        <w:t>Decision reconciliation</w:t>
      </w:r>
    </w:p>
    <w:p>
      <w:r>
        <w:t>The 26 August PRD requires real FlowState execution. The 05 September call supports comparing and swapping FlowState/direct-provider backends. Retain FlowState as the baseline real Work runtime; permit a direct-provider replacement only through ADR-V01-003, joint approval and the same real workflow acceptance tests. Substitution must be disclosed in release notes, never presented as FlowState proof. [S1–S4]</w:t>
      </w:r>
    </w:p>
    <w:p>
      <w:r>
        <w:br w:type="page"/>
      </w:r>
    </w:p>
    <w:p>
      <w:pPr>
        <w:pStyle w:val="Subtitle"/>
      </w:pPr>
      <w:r>
        <w:t>2 • DELIVERY CALENDAR</w:t>
      </w:r>
    </w:p>
    <w:p>
      <w:pPr>
        <w:pStyle w:val="Heading1"/>
      </w:pPr>
      <w:r>
        <w:t>05 September to 05 October</w:t>
      </w:r>
    </w:p>
    <w:p>
      <w:r>
        <w:t>All dates are 2026, UK local time. Dates are target gate dates, not automatic permission to advance. André is part-time before 19 September; George has paid-work commitments. No weekend engineering capacity is assumed. [S1, 30:18–31:28]</w:t>
      </w:r>
    </w:p>
    <w:tbl>
      <w:tblPr>
        <w:tblW w:type="auto" w:w="0"/>
        <w:tblLayout w:type="fixed"/>
        <w:tblLook w:firstColumn="1" w:firstRow="1" w:lastColumn="0" w:lastRow="0" w:noHBand="0" w:noVBand="1" w:val="04A0"/>
      </w:tblPr>
      <w:tblGrid>
        <w:gridCol w:w="1656"/>
        <w:gridCol w:w="2664"/>
        <w:gridCol w:w="3816"/>
        <w:gridCol w:w="1656"/>
      </w:tblGrid>
      <w:tr>
        <w:trPr>
          <w:cantSplit/>
          <w:tblHeader/>
        </w:trPr>
        <w:tc>
          <w:tcPr>
            <w:tcW w:type="dxa" w:w="2459"/>
            <w:shd w:fill="163C43"/>
            <w:tcMar>
              <w:top w:w="85" w:type="dxa"/>
              <w:left w:w="85" w:type="dxa"/>
              <w:bottom w:w="85" w:type="dxa"/>
              <w:right w:w="85" w:type="dxa"/>
            </w:tcMar>
          </w:tcPr>
          <w:p>
            <w:pPr>
              <w:spacing w:after="60" w:line="245" w:lineRule="auto"/>
            </w:pPr>
            <w:r>
              <w:rPr>
                <w:b/>
                <w:color w:val="FFFFFF"/>
                <w:sz w:val="18"/>
              </w:rPr>
              <w:t>Window</w:t>
            </w:r>
          </w:p>
        </w:tc>
        <w:tc>
          <w:tcPr>
            <w:tcW w:type="dxa" w:w="2459"/>
            <w:shd w:fill="163C43"/>
            <w:tcMar>
              <w:top w:w="85" w:type="dxa"/>
              <w:left w:w="85" w:type="dxa"/>
              <w:bottom w:w="85" w:type="dxa"/>
              <w:right w:w="85" w:type="dxa"/>
            </w:tcMar>
          </w:tcPr>
          <w:p>
            <w:pPr>
              <w:spacing w:after="60" w:line="245" w:lineRule="auto"/>
            </w:pPr>
            <w:r>
              <w:rPr>
                <w:b/>
                <w:color w:val="FFFFFF"/>
                <w:sz w:val="18"/>
              </w:rPr>
              <w:t>Product / André</w:t>
            </w:r>
          </w:p>
        </w:tc>
        <w:tc>
          <w:tcPr>
            <w:tcW w:type="dxa" w:w="2459"/>
            <w:shd w:fill="163C43"/>
            <w:tcMar>
              <w:top w:w="85" w:type="dxa"/>
              <w:left w:w="85" w:type="dxa"/>
              <w:bottom w:w="85" w:type="dxa"/>
              <w:right w:w="85" w:type="dxa"/>
            </w:tcMar>
          </w:tcPr>
          <w:p>
            <w:pPr>
              <w:spacing w:after="60" w:line="245" w:lineRule="auto"/>
            </w:pPr>
            <w:r>
              <w:rPr>
                <w:b/>
                <w:color w:val="FFFFFF"/>
                <w:sz w:val="18"/>
              </w:rPr>
              <w:t>Engineering / George</w:t>
            </w:r>
          </w:p>
        </w:tc>
        <w:tc>
          <w:tcPr>
            <w:tcW w:type="dxa" w:w="2459"/>
            <w:shd w:fill="163C43"/>
            <w:tcMar>
              <w:top w:w="85" w:type="dxa"/>
              <w:left w:w="85" w:type="dxa"/>
              <w:bottom w:w="85" w:type="dxa"/>
              <w:right w:w="85" w:type="dxa"/>
            </w:tcMar>
          </w:tcPr>
          <w:p>
            <w:pPr>
              <w:spacing w:after="60" w:line="245" w:lineRule="auto"/>
            </w:pPr>
            <w:r>
              <w:rPr>
                <w:b/>
                <w:color w:val="FFFFFF"/>
                <w:sz w:val="18"/>
              </w:rPr>
              <w:t>Exit</w:t>
            </w:r>
          </w:p>
        </w:tc>
      </w:tr>
      <w:tr>
        <w:trPr>
          <w:cantSplit/>
        </w:trPr>
        <w:tc>
          <w:tcPr>
            <w:tcW w:type="dxa" w:w="1656"/>
            <w:shd w:fill="EFF5F4"/>
            <w:tcMar>
              <w:top w:w="85" w:type="dxa"/>
              <w:left w:w="85" w:type="dxa"/>
              <w:bottom w:w="85" w:type="dxa"/>
              <w:right w:w="85" w:type="dxa"/>
            </w:tcMar>
          </w:tcPr>
          <w:p>
            <w:pPr>
              <w:spacing w:after="60" w:line="245" w:lineRule="auto"/>
            </w:pPr>
            <w:r>
              <w:rPr>
                <w:sz w:val="18"/>
              </w:rPr>
              <w:t>05–06 Sep</w:t>
              <w:br/>
              <w:t>Sat–Sun</w:t>
            </w:r>
          </w:p>
        </w:tc>
        <w:tc>
          <w:tcPr>
            <w:tcW w:type="dxa" w:w="2664"/>
            <w:shd w:fill="EFF5F4"/>
            <w:tcMar>
              <w:top w:w="85" w:type="dxa"/>
              <w:left w:w="85" w:type="dxa"/>
              <w:bottom w:w="85" w:type="dxa"/>
              <w:right w:w="85" w:type="dxa"/>
            </w:tcMar>
          </w:tcPr>
          <w:p>
            <w:pPr>
              <w:spacing w:after="60" w:line="245" w:lineRule="auto"/>
            </w:pPr>
            <w:r>
              <w:rPr>
                <w:sz w:val="18"/>
              </w:rPr>
              <w:t>Prepare scope, source manifest and V0.01 handoff</w:t>
            </w:r>
          </w:p>
        </w:tc>
        <w:tc>
          <w:tcPr>
            <w:tcW w:type="dxa" w:w="3816"/>
            <w:shd w:fill="EFF5F4"/>
            <w:tcMar>
              <w:top w:w="85" w:type="dxa"/>
              <w:left w:w="85" w:type="dxa"/>
              <w:bottom w:w="85" w:type="dxa"/>
              <w:right w:w="85" w:type="dxa"/>
            </w:tcMar>
          </w:tcPr>
          <w:p>
            <w:pPr>
              <w:spacing w:after="60" w:line="245" w:lineRule="auto"/>
            </w:pPr>
            <w:r>
              <w:rPr>
                <w:sz w:val="18"/>
              </w:rPr>
              <w:t>Optional access/inventory check</w:t>
            </w:r>
          </w:p>
        </w:tc>
        <w:tc>
          <w:tcPr>
            <w:tcW w:type="dxa" w:w="1656"/>
            <w:shd w:fill="EFF5F4"/>
            <w:tcMar>
              <w:top w:w="85" w:type="dxa"/>
              <w:left w:w="85" w:type="dxa"/>
              <w:bottom w:w="85" w:type="dxa"/>
              <w:right w:w="85" w:type="dxa"/>
            </w:tcMar>
          </w:tcPr>
          <w:p>
            <w:pPr>
              <w:spacing w:after="60" w:line="245" w:lineRule="auto"/>
            </w:pPr>
            <w:r>
              <w:rPr>
                <w:sz w:val="18"/>
              </w:rPr>
              <w:t>Kickoff packet</w:t>
            </w:r>
          </w:p>
        </w:tc>
      </w:tr>
      <w:tr>
        <w:trPr>
          <w:cantSplit/>
        </w:trPr>
        <w:tc>
          <w:tcPr>
            <w:tcW w:type="dxa" w:w="1656"/>
            <w:shd w:fill="FFFFFF"/>
            <w:tcMar>
              <w:top w:w="85" w:type="dxa"/>
              <w:left w:w="85" w:type="dxa"/>
              <w:bottom w:w="85" w:type="dxa"/>
              <w:right w:w="85" w:type="dxa"/>
            </w:tcMar>
          </w:tcPr>
          <w:p>
            <w:pPr>
              <w:spacing w:after="60" w:line="245" w:lineRule="auto"/>
            </w:pPr>
            <w:r>
              <w:rPr>
                <w:sz w:val="18"/>
              </w:rPr>
              <w:t>07–09 Sep</w:t>
              <w:br/>
              <w:t>Mon–Wed</w:t>
            </w:r>
          </w:p>
        </w:tc>
        <w:tc>
          <w:tcPr>
            <w:tcW w:type="dxa" w:w="2664"/>
            <w:shd w:fill="FFFFFF"/>
            <w:tcMar>
              <w:top w:w="85" w:type="dxa"/>
              <w:left w:w="85" w:type="dxa"/>
              <w:bottom w:w="85" w:type="dxa"/>
              <w:right w:w="85" w:type="dxa"/>
            </w:tcMar>
          </w:tcPr>
          <w:p>
            <w:pPr>
              <w:spacing w:after="60" w:line="245" w:lineRule="auto"/>
            </w:pPr>
            <w:r>
              <w:rPr>
                <w:sz w:val="18"/>
              </w:rPr>
              <w:t>Freeze canonical shell and scenario</w:t>
            </w:r>
          </w:p>
        </w:tc>
        <w:tc>
          <w:tcPr>
            <w:tcW w:type="dxa" w:w="3816"/>
            <w:shd w:fill="FFFFFF"/>
            <w:tcMar>
              <w:top w:w="85" w:type="dxa"/>
              <w:left w:w="85" w:type="dxa"/>
              <w:bottom w:w="85" w:type="dxa"/>
              <w:right w:w="85" w:type="dxa"/>
            </w:tcMar>
          </w:tcPr>
          <w:p>
            <w:pPr>
              <w:spacing w:after="60" w:line="245" w:lineRule="auto"/>
            </w:pPr>
            <w:r>
              <w:rPr>
                <w:sz w:val="18"/>
              </w:rPr>
              <w:t>V0.01: clean clone, shell, mock seam; Azure inventory</w:t>
            </w:r>
          </w:p>
        </w:tc>
        <w:tc>
          <w:tcPr>
            <w:tcW w:type="dxa" w:w="1656"/>
            <w:shd w:fill="FFFFFF"/>
            <w:tcMar>
              <w:top w:w="85" w:type="dxa"/>
              <w:left w:w="85" w:type="dxa"/>
              <w:bottom w:w="85" w:type="dxa"/>
              <w:right w:w="85" w:type="dxa"/>
            </w:tcMar>
          </w:tcPr>
          <w:p>
            <w:pPr>
              <w:spacing w:after="60" w:line="245" w:lineRule="auto"/>
            </w:pPr>
            <w:r>
              <w:rPr>
                <w:sz w:val="18"/>
              </w:rPr>
              <w:t>G01 • 09 Sep</w:t>
            </w:r>
          </w:p>
        </w:tc>
      </w:tr>
      <w:tr>
        <w:trPr>
          <w:cantSplit/>
        </w:trPr>
        <w:tc>
          <w:tcPr>
            <w:tcW w:type="dxa" w:w="1656"/>
            <w:shd w:fill="EFF5F4"/>
            <w:tcMar>
              <w:top w:w="85" w:type="dxa"/>
              <w:left w:w="85" w:type="dxa"/>
              <w:bottom w:w="85" w:type="dxa"/>
              <w:right w:w="85" w:type="dxa"/>
            </w:tcMar>
          </w:tcPr>
          <w:p>
            <w:pPr>
              <w:spacing w:after="60" w:line="245" w:lineRule="auto"/>
            </w:pPr>
            <w:r>
              <w:rPr>
                <w:sz w:val="18"/>
              </w:rPr>
              <w:t>10–11 Sep</w:t>
              <w:br/>
              <w:t>Thu–Fri</w:t>
            </w:r>
          </w:p>
        </w:tc>
        <w:tc>
          <w:tcPr>
            <w:tcW w:type="dxa" w:w="2664"/>
            <w:shd w:fill="EFF5F4"/>
            <w:tcMar>
              <w:top w:w="85" w:type="dxa"/>
              <w:left w:w="85" w:type="dxa"/>
              <w:bottom w:w="85" w:type="dxa"/>
              <w:right w:w="85" w:type="dxa"/>
            </w:tcMar>
          </w:tcPr>
          <w:p>
            <w:pPr>
              <w:spacing w:after="60" w:line="245" w:lineRule="auto"/>
            </w:pPr>
            <w:r>
              <w:rPr>
                <w:sz w:val="18"/>
              </w:rPr>
              <w:t>Review state copy and conversation</w:t>
            </w:r>
          </w:p>
        </w:tc>
        <w:tc>
          <w:tcPr>
            <w:tcW w:type="dxa" w:w="3816"/>
            <w:shd w:fill="EFF5F4"/>
            <w:tcMar>
              <w:top w:w="85" w:type="dxa"/>
              <w:left w:w="85" w:type="dxa"/>
              <w:bottom w:w="85" w:type="dxa"/>
              <w:right w:w="85" w:type="dxa"/>
            </w:tcMar>
          </w:tcPr>
          <w:p>
            <w:pPr>
              <w:spacing w:after="60" w:line="245" w:lineRule="auto"/>
            </w:pPr>
            <w:r>
              <w:rPr>
                <w:sz w:val="18"/>
              </w:rPr>
              <w:t>V0.02: complete mock interaction and runtime contract</w:t>
            </w:r>
          </w:p>
        </w:tc>
        <w:tc>
          <w:tcPr>
            <w:tcW w:type="dxa" w:w="1656"/>
            <w:shd w:fill="EFF5F4"/>
            <w:tcMar>
              <w:top w:w="85" w:type="dxa"/>
              <w:left w:w="85" w:type="dxa"/>
              <w:bottom w:w="85" w:type="dxa"/>
              <w:right w:w="85" w:type="dxa"/>
            </w:tcMar>
          </w:tcPr>
          <w:p>
            <w:pPr>
              <w:spacing w:after="60" w:line="245" w:lineRule="auto"/>
            </w:pPr>
            <w:r>
              <w:rPr>
                <w:sz w:val="18"/>
              </w:rPr>
              <w:t>G02 • 11 Sep</w:t>
            </w:r>
          </w:p>
        </w:tc>
      </w:tr>
      <w:tr>
        <w:trPr>
          <w:cantSplit/>
        </w:trPr>
        <w:tc>
          <w:tcPr>
            <w:tcW w:type="dxa" w:w="1656"/>
            <w:shd w:fill="FFFFFF"/>
            <w:tcMar>
              <w:top w:w="85" w:type="dxa"/>
              <w:left w:w="85" w:type="dxa"/>
              <w:bottom w:w="85" w:type="dxa"/>
              <w:right w:w="85" w:type="dxa"/>
            </w:tcMar>
          </w:tcPr>
          <w:p>
            <w:pPr>
              <w:spacing w:after="60" w:line="245" w:lineRule="auto"/>
            </w:pPr>
            <w:r>
              <w:rPr>
                <w:sz w:val="18"/>
              </w:rPr>
              <w:t>14–15 Sep</w:t>
              <w:br/>
              <w:t>Mon–Tue</w:t>
            </w:r>
          </w:p>
        </w:tc>
        <w:tc>
          <w:tcPr>
            <w:tcW w:type="dxa" w:w="2664"/>
            <w:shd w:fill="FFFFFF"/>
            <w:tcMar>
              <w:top w:w="85" w:type="dxa"/>
              <w:left w:w="85" w:type="dxa"/>
              <w:bottom w:w="85" w:type="dxa"/>
              <w:right w:w="85" w:type="dxa"/>
            </w:tcMar>
          </w:tcPr>
          <w:p>
            <w:pPr>
              <w:spacing w:after="60" w:line="245" w:lineRule="auto"/>
            </w:pPr>
            <w:r>
              <w:rPr>
                <w:sz w:val="18"/>
              </w:rPr>
              <w:t>Approve onboarding/privacy copy</w:t>
            </w:r>
          </w:p>
        </w:tc>
        <w:tc>
          <w:tcPr>
            <w:tcW w:type="dxa" w:w="3816"/>
            <w:shd w:fill="FFFFFF"/>
            <w:tcMar>
              <w:top w:w="85" w:type="dxa"/>
              <w:left w:w="85" w:type="dxa"/>
              <w:bottom w:w="85" w:type="dxa"/>
              <w:right w:w="85" w:type="dxa"/>
            </w:tcMar>
          </w:tcPr>
          <w:p>
            <w:pPr>
              <w:spacing w:after="60" w:line="245" w:lineRule="auto"/>
            </w:pPr>
            <w:r>
              <w:rPr>
                <w:sz w:val="18"/>
              </w:rPr>
              <w:t>V0.03: identity, persisted state, migrations/isolation</w:t>
            </w:r>
          </w:p>
        </w:tc>
        <w:tc>
          <w:tcPr>
            <w:tcW w:type="dxa" w:w="1656"/>
            <w:shd w:fill="FFFFFF"/>
            <w:tcMar>
              <w:top w:w="85" w:type="dxa"/>
              <w:left w:w="85" w:type="dxa"/>
              <w:bottom w:w="85" w:type="dxa"/>
              <w:right w:w="85" w:type="dxa"/>
            </w:tcMar>
          </w:tcPr>
          <w:p>
            <w:pPr>
              <w:spacing w:after="60" w:line="245" w:lineRule="auto"/>
            </w:pPr>
            <w:r>
              <w:rPr>
                <w:sz w:val="18"/>
              </w:rPr>
              <w:t>G03 • 15 Sep</w:t>
            </w:r>
          </w:p>
        </w:tc>
      </w:tr>
      <w:tr>
        <w:trPr>
          <w:cantSplit/>
        </w:trPr>
        <w:tc>
          <w:tcPr>
            <w:tcW w:type="dxa" w:w="1656"/>
            <w:shd w:fill="EFF5F4"/>
            <w:tcMar>
              <w:top w:w="85" w:type="dxa"/>
              <w:left w:w="85" w:type="dxa"/>
              <w:bottom w:w="85" w:type="dxa"/>
              <w:right w:w="85" w:type="dxa"/>
            </w:tcMar>
          </w:tcPr>
          <w:p>
            <w:pPr>
              <w:spacing w:after="60" w:line="245" w:lineRule="auto"/>
            </w:pPr>
            <w:r>
              <w:rPr>
                <w:sz w:val="18"/>
              </w:rPr>
              <w:t>16–18 Sep</w:t>
              <w:br/>
              <w:t>Wed–Fri</w:t>
            </w:r>
          </w:p>
        </w:tc>
        <w:tc>
          <w:tcPr>
            <w:tcW w:type="dxa" w:w="2664"/>
            <w:shd w:fill="EFF5F4"/>
            <w:tcMar>
              <w:top w:w="85" w:type="dxa"/>
              <w:left w:w="85" w:type="dxa"/>
              <w:bottom w:w="85" w:type="dxa"/>
              <w:right w:w="85" w:type="dxa"/>
            </w:tcMar>
          </w:tcPr>
          <w:p>
            <w:pPr>
              <w:spacing w:after="60" w:line="245" w:lineRule="auto"/>
            </w:pPr>
            <w:r>
              <w:rPr>
                <w:sz w:val="18"/>
              </w:rPr>
              <w:t>Approve NPR controls and synthesis</w:t>
            </w:r>
          </w:p>
        </w:tc>
        <w:tc>
          <w:tcPr>
            <w:tcW w:type="dxa" w:w="3816"/>
            <w:shd w:fill="EFF5F4"/>
            <w:tcMar>
              <w:top w:w="85" w:type="dxa"/>
              <w:left w:w="85" w:type="dxa"/>
              <w:bottom w:w="85" w:type="dxa"/>
              <w:right w:w="85" w:type="dxa"/>
            </w:tcMar>
          </w:tcPr>
          <w:p>
            <w:pPr>
              <w:spacing w:after="60" w:line="245" w:lineRule="auto"/>
            </w:pPr>
            <w:r>
              <w:rPr>
                <w:sz w:val="18"/>
              </w:rPr>
              <w:t>V0.04: governed context and real support</w:t>
            </w:r>
          </w:p>
        </w:tc>
        <w:tc>
          <w:tcPr>
            <w:tcW w:type="dxa" w:w="1656"/>
            <w:shd w:fill="EFF5F4"/>
            <w:tcMar>
              <w:top w:w="85" w:type="dxa"/>
              <w:left w:w="85" w:type="dxa"/>
              <w:bottom w:w="85" w:type="dxa"/>
              <w:right w:w="85" w:type="dxa"/>
            </w:tcMar>
          </w:tcPr>
          <w:p>
            <w:pPr>
              <w:spacing w:after="60" w:line="245" w:lineRule="auto"/>
            </w:pPr>
            <w:r>
              <w:rPr>
                <w:sz w:val="18"/>
              </w:rPr>
              <w:t>G04 • 18 Sep</w:t>
            </w:r>
          </w:p>
        </w:tc>
      </w:tr>
      <w:tr>
        <w:trPr>
          <w:cantSplit/>
        </w:trPr>
        <w:tc>
          <w:tcPr>
            <w:tcW w:type="dxa" w:w="1656"/>
            <w:shd w:fill="FFFFFF"/>
            <w:tcMar>
              <w:top w:w="85" w:type="dxa"/>
              <w:left w:w="85" w:type="dxa"/>
              <w:bottom w:w="85" w:type="dxa"/>
              <w:right w:w="85" w:type="dxa"/>
            </w:tcMar>
          </w:tcPr>
          <w:p>
            <w:pPr>
              <w:spacing w:after="60" w:line="245" w:lineRule="auto"/>
            </w:pPr>
            <w:r>
              <w:rPr>
                <w:sz w:val="18"/>
              </w:rPr>
              <w:t>19–20 Sep</w:t>
              <w:br/>
              <w:t>Weekend</w:t>
            </w:r>
          </w:p>
        </w:tc>
        <w:tc>
          <w:tcPr>
            <w:tcW w:type="dxa" w:w="2664"/>
            <w:shd w:fill="FFFFFF"/>
            <w:tcMar>
              <w:top w:w="85" w:type="dxa"/>
              <w:left w:w="85" w:type="dxa"/>
              <w:bottom w:w="85" w:type="dxa"/>
              <w:right w:w="85" w:type="dxa"/>
            </w:tcMar>
          </w:tcPr>
          <w:p>
            <w:pPr>
              <w:spacing w:after="60" w:line="245" w:lineRule="auto"/>
            </w:pPr>
            <w:r>
              <w:rPr>
                <w:sz w:val="18"/>
              </w:rPr>
              <w:t>André returns full-time; prepare Work and outcome specs</w:t>
            </w:r>
          </w:p>
        </w:tc>
        <w:tc>
          <w:tcPr>
            <w:tcW w:type="dxa" w:w="3816"/>
            <w:shd w:fill="FFFFFF"/>
            <w:tcMar>
              <w:top w:w="85" w:type="dxa"/>
              <w:left w:w="85" w:type="dxa"/>
              <w:bottom w:w="85" w:type="dxa"/>
              <w:right w:w="85" w:type="dxa"/>
            </w:tcMar>
          </w:tcPr>
          <w:p>
            <w:pPr>
              <w:spacing w:after="60" w:line="245" w:lineRule="auto"/>
            </w:pPr>
            <w:r>
              <w:rPr>
                <w:sz w:val="18"/>
              </w:rPr>
              <w:t>No assumed build time</w:t>
            </w:r>
          </w:p>
        </w:tc>
        <w:tc>
          <w:tcPr>
            <w:tcW w:type="dxa" w:w="1656"/>
            <w:shd w:fill="FFFFFF"/>
            <w:tcMar>
              <w:top w:w="85" w:type="dxa"/>
              <w:left w:w="85" w:type="dxa"/>
              <w:bottom w:w="85" w:type="dxa"/>
              <w:right w:w="85" w:type="dxa"/>
            </w:tcMar>
          </w:tcPr>
          <w:p>
            <w:pPr>
              <w:spacing w:after="60" w:line="245" w:lineRule="auto"/>
            </w:pPr>
            <w:r>
              <w:rPr>
                <w:sz w:val="18"/>
              </w:rPr>
              <w:t>Ready queue</w:t>
            </w:r>
          </w:p>
        </w:tc>
      </w:tr>
      <w:tr>
        <w:trPr>
          <w:cantSplit/>
        </w:trPr>
        <w:tc>
          <w:tcPr>
            <w:tcW w:type="dxa" w:w="1656"/>
            <w:shd w:fill="EFF5F4"/>
            <w:tcMar>
              <w:top w:w="85" w:type="dxa"/>
              <w:left w:w="85" w:type="dxa"/>
              <w:bottom w:w="85" w:type="dxa"/>
              <w:right w:w="85" w:type="dxa"/>
            </w:tcMar>
          </w:tcPr>
          <w:p>
            <w:pPr>
              <w:spacing w:after="60" w:line="245" w:lineRule="auto"/>
            </w:pPr>
            <w:r>
              <w:rPr>
                <w:sz w:val="18"/>
              </w:rPr>
              <w:t>21–22 Sep</w:t>
              <w:br/>
              <w:t>Mon–Tue</w:t>
            </w:r>
          </w:p>
        </w:tc>
        <w:tc>
          <w:tcPr>
            <w:tcW w:type="dxa" w:w="2664"/>
            <w:shd w:fill="EFF5F4"/>
            <w:tcMar>
              <w:top w:w="85" w:type="dxa"/>
              <w:left w:w="85" w:type="dxa"/>
              <w:bottom w:w="85" w:type="dxa"/>
              <w:right w:w="85" w:type="dxa"/>
            </w:tcMar>
          </w:tcPr>
          <w:p>
            <w:pPr>
              <w:spacing w:after="60" w:line="245" w:lineRule="auto"/>
            </w:pPr>
            <w:r>
              <w:rPr>
                <w:sz w:val="18"/>
              </w:rPr>
              <w:t>Accept Chat → Work and action gates</w:t>
            </w:r>
          </w:p>
        </w:tc>
        <w:tc>
          <w:tcPr>
            <w:tcW w:type="dxa" w:w="3816"/>
            <w:shd w:fill="EFF5F4"/>
            <w:tcMar>
              <w:top w:w="85" w:type="dxa"/>
              <w:left w:w="85" w:type="dxa"/>
              <w:bottom w:w="85" w:type="dxa"/>
              <w:right w:w="85" w:type="dxa"/>
            </w:tcMar>
          </w:tcPr>
          <w:p>
            <w:pPr>
              <w:spacing w:after="60" w:line="245" w:lineRule="auto"/>
            </w:pPr>
            <w:r>
              <w:rPr>
                <w:sz w:val="18"/>
              </w:rPr>
              <w:t>V0.05: persistent Work and artefact path</w:t>
            </w:r>
          </w:p>
        </w:tc>
        <w:tc>
          <w:tcPr>
            <w:tcW w:type="dxa" w:w="1656"/>
            <w:shd w:fill="EFF5F4"/>
            <w:tcMar>
              <w:top w:w="85" w:type="dxa"/>
              <w:left w:w="85" w:type="dxa"/>
              <w:bottom w:w="85" w:type="dxa"/>
              <w:right w:w="85" w:type="dxa"/>
            </w:tcMar>
          </w:tcPr>
          <w:p>
            <w:pPr>
              <w:spacing w:after="60" w:line="245" w:lineRule="auto"/>
            </w:pPr>
            <w:r>
              <w:rPr>
                <w:sz w:val="18"/>
              </w:rPr>
              <w:t>G05 • 22 Sep</w:t>
            </w:r>
          </w:p>
        </w:tc>
      </w:tr>
      <w:tr>
        <w:trPr>
          <w:cantSplit/>
        </w:trPr>
        <w:tc>
          <w:tcPr>
            <w:tcW w:type="dxa" w:w="1656"/>
            <w:shd w:fill="FFFFFF"/>
            <w:tcMar>
              <w:top w:w="85" w:type="dxa"/>
              <w:left w:w="85" w:type="dxa"/>
              <w:bottom w:w="85" w:type="dxa"/>
              <w:right w:w="85" w:type="dxa"/>
            </w:tcMar>
          </w:tcPr>
          <w:p>
            <w:pPr>
              <w:spacing w:after="60" w:line="245" w:lineRule="auto"/>
            </w:pPr>
            <w:r>
              <w:rPr>
                <w:sz w:val="18"/>
              </w:rPr>
              <w:t>23–24 Sep</w:t>
              <w:br/>
              <w:t>Wed–Thu</w:t>
            </w:r>
          </w:p>
        </w:tc>
        <w:tc>
          <w:tcPr>
            <w:tcW w:type="dxa" w:w="2664"/>
            <w:shd w:fill="FFFFFF"/>
            <w:tcMar>
              <w:top w:w="85" w:type="dxa"/>
              <w:left w:w="85" w:type="dxa"/>
              <w:bottom w:w="85" w:type="dxa"/>
              <w:right w:w="85" w:type="dxa"/>
            </w:tcMar>
          </w:tcPr>
          <w:p>
            <w:pPr>
              <w:spacing w:after="60" w:line="245" w:lineRule="auto"/>
            </w:pPr>
            <w:r>
              <w:rPr>
                <w:sz w:val="18"/>
              </w:rPr>
              <w:t>Score workflow and approve runtime choice</w:t>
            </w:r>
          </w:p>
        </w:tc>
        <w:tc>
          <w:tcPr>
            <w:tcW w:type="dxa" w:w="3816"/>
            <w:shd w:fill="FFFFFF"/>
            <w:tcMar>
              <w:top w:w="85" w:type="dxa"/>
              <w:left w:w="85" w:type="dxa"/>
              <w:bottom w:w="85" w:type="dxa"/>
              <w:right w:w="85" w:type="dxa"/>
            </w:tcMar>
          </w:tcPr>
          <w:p>
            <w:pPr>
              <w:spacing w:after="60" w:line="245" w:lineRule="auto"/>
            </w:pPr>
            <w:r>
              <w:rPr>
                <w:sz w:val="18"/>
              </w:rPr>
              <w:t>V0.06: real specialist/tool workflow</w:t>
            </w:r>
          </w:p>
        </w:tc>
        <w:tc>
          <w:tcPr>
            <w:tcW w:type="dxa" w:w="1656"/>
            <w:shd w:fill="FFFFFF"/>
            <w:tcMar>
              <w:top w:w="85" w:type="dxa"/>
              <w:left w:w="85" w:type="dxa"/>
              <w:bottom w:w="85" w:type="dxa"/>
              <w:right w:w="85" w:type="dxa"/>
            </w:tcMar>
          </w:tcPr>
          <w:p>
            <w:pPr>
              <w:spacing w:after="60" w:line="245" w:lineRule="auto"/>
            </w:pPr>
            <w:r>
              <w:rPr>
                <w:sz w:val="18"/>
              </w:rPr>
              <w:t>G06 • 24 Sep</w:t>
            </w:r>
          </w:p>
        </w:tc>
      </w:tr>
      <w:tr>
        <w:trPr>
          <w:cantSplit/>
        </w:trPr>
        <w:tc>
          <w:tcPr>
            <w:tcW w:type="dxa" w:w="1656"/>
            <w:shd w:fill="EFF5F4"/>
            <w:tcMar>
              <w:top w:w="85" w:type="dxa"/>
              <w:left w:w="85" w:type="dxa"/>
              <w:bottom w:w="85" w:type="dxa"/>
              <w:right w:w="85" w:type="dxa"/>
            </w:tcMar>
          </w:tcPr>
          <w:p>
            <w:pPr>
              <w:spacing w:after="60" w:line="245" w:lineRule="auto"/>
            </w:pPr>
            <w:r>
              <w:rPr>
                <w:sz w:val="18"/>
              </w:rPr>
              <w:t>25 Sep</w:t>
              <w:br/>
              <w:t>Fri</w:t>
            </w:r>
          </w:p>
        </w:tc>
        <w:tc>
          <w:tcPr>
            <w:tcW w:type="dxa" w:w="2664"/>
            <w:shd w:fill="EFF5F4"/>
            <w:tcMar>
              <w:top w:w="85" w:type="dxa"/>
              <w:left w:w="85" w:type="dxa"/>
              <w:bottom w:w="85" w:type="dxa"/>
              <w:right w:w="85" w:type="dxa"/>
            </w:tcMar>
          </w:tcPr>
          <w:p>
            <w:pPr>
              <w:spacing w:after="60" w:line="245" w:lineRule="auto"/>
            </w:pPr>
            <w:r>
              <w:rPr>
                <w:sz w:val="18"/>
              </w:rPr>
              <w:t>Review learning/adaptation evidence</w:t>
            </w:r>
          </w:p>
        </w:tc>
        <w:tc>
          <w:tcPr>
            <w:tcW w:type="dxa" w:w="3816"/>
            <w:shd w:fill="EFF5F4"/>
            <w:tcMar>
              <w:top w:w="85" w:type="dxa"/>
              <w:left w:w="85" w:type="dxa"/>
              <w:bottom w:w="85" w:type="dxa"/>
              <w:right w:w="85" w:type="dxa"/>
            </w:tcMar>
          </w:tcPr>
          <w:p>
            <w:pPr>
              <w:spacing w:after="60" w:line="245" w:lineRule="auto"/>
            </w:pPr>
            <w:r>
              <w:rPr>
                <w:sz w:val="18"/>
              </w:rPr>
              <w:t>V0.07: outcome → learning → later support</w:t>
            </w:r>
          </w:p>
        </w:tc>
        <w:tc>
          <w:tcPr>
            <w:tcW w:type="dxa" w:w="1656"/>
            <w:shd w:fill="EFF5F4"/>
            <w:tcMar>
              <w:top w:w="85" w:type="dxa"/>
              <w:left w:w="85" w:type="dxa"/>
              <w:bottom w:w="85" w:type="dxa"/>
              <w:right w:w="85" w:type="dxa"/>
            </w:tcMar>
          </w:tcPr>
          <w:p>
            <w:pPr>
              <w:spacing w:after="60" w:line="245" w:lineRule="auto"/>
            </w:pPr>
            <w:r>
              <w:rPr>
                <w:sz w:val="18"/>
              </w:rPr>
              <w:t>G07 • 25 Sep</w:t>
            </w:r>
          </w:p>
        </w:tc>
      </w:tr>
      <w:tr>
        <w:trPr>
          <w:cantSplit/>
        </w:trPr>
        <w:tc>
          <w:tcPr>
            <w:tcW w:type="dxa" w:w="1656"/>
            <w:shd w:fill="FFFFFF"/>
            <w:tcMar>
              <w:top w:w="85" w:type="dxa"/>
              <w:left w:w="85" w:type="dxa"/>
              <w:bottom w:w="85" w:type="dxa"/>
              <w:right w:w="85" w:type="dxa"/>
            </w:tcMar>
          </w:tcPr>
          <w:p>
            <w:pPr>
              <w:spacing w:after="60" w:line="245" w:lineRule="auto"/>
            </w:pPr>
            <w:r>
              <w:rPr>
                <w:sz w:val="18"/>
              </w:rPr>
              <w:t>28–29 Sep</w:t>
              <w:br/>
              <w:t>Mon–Tue</w:t>
            </w:r>
          </w:p>
        </w:tc>
        <w:tc>
          <w:tcPr>
            <w:tcW w:type="dxa" w:w="2664"/>
            <w:shd w:fill="FFFFFF"/>
            <w:tcMar>
              <w:top w:w="85" w:type="dxa"/>
              <w:left w:w="85" w:type="dxa"/>
              <w:bottom w:w="85" w:type="dxa"/>
              <w:right w:w="85" w:type="dxa"/>
            </w:tcMar>
          </w:tcPr>
          <w:p>
            <w:pPr>
              <w:spacing w:after="60" w:line="245" w:lineRule="auto"/>
            </w:pPr>
            <w:r>
              <w:rPr>
                <w:sz w:val="18"/>
              </w:rPr>
              <w:t>Accessibility, privacy and beta-copy review</w:t>
            </w:r>
          </w:p>
        </w:tc>
        <w:tc>
          <w:tcPr>
            <w:tcW w:type="dxa" w:w="3816"/>
            <w:shd w:fill="FFFFFF"/>
            <w:tcMar>
              <w:top w:w="85" w:type="dxa"/>
              <w:left w:w="85" w:type="dxa"/>
              <w:bottom w:w="85" w:type="dxa"/>
              <w:right w:w="85" w:type="dxa"/>
            </w:tcMar>
          </w:tcPr>
          <w:p>
            <w:pPr>
              <w:spacing w:after="60" w:line="245" w:lineRule="auto"/>
            </w:pPr>
            <w:r>
              <w:rPr>
                <w:sz w:val="18"/>
              </w:rPr>
              <w:t>V0.08: resilience, lifecycle, security hardening</w:t>
            </w:r>
          </w:p>
        </w:tc>
        <w:tc>
          <w:tcPr>
            <w:tcW w:type="dxa" w:w="1656"/>
            <w:shd w:fill="FFFFFF"/>
            <w:tcMar>
              <w:top w:w="85" w:type="dxa"/>
              <w:left w:w="85" w:type="dxa"/>
              <w:bottom w:w="85" w:type="dxa"/>
              <w:right w:w="85" w:type="dxa"/>
            </w:tcMar>
          </w:tcPr>
          <w:p>
            <w:pPr>
              <w:spacing w:after="60" w:line="245" w:lineRule="auto"/>
            </w:pPr>
            <w:r>
              <w:rPr>
                <w:sz w:val="18"/>
              </w:rPr>
              <w:t>G08 • 29 Sep</w:t>
            </w:r>
          </w:p>
        </w:tc>
      </w:tr>
      <w:tr>
        <w:trPr>
          <w:cantSplit/>
        </w:trPr>
        <w:tc>
          <w:tcPr>
            <w:tcW w:type="dxa" w:w="1656"/>
            <w:shd w:fill="EFF5F4"/>
            <w:tcMar>
              <w:top w:w="85" w:type="dxa"/>
              <w:left w:w="85" w:type="dxa"/>
              <w:bottom w:w="85" w:type="dxa"/>
              <w:right w:w="85" w:type="dxa"/>
            </w:tcMar>
          </w:tcPr>
          <w:p>
            <w:pPr>
              <w:spacing w:after="60" w:line="245" w:lineRule="auto"/>
            </w:pPr>
            <w:r>
              <w:rPr>
                <w:sz w:val="18"/>
              </w:rPr>
              <w:t>30 Sep–01 Oct</w:t>
              <w:br/>
              <w:t>Wed–Thu</w:t>
            </w:r>
          </w:p>
        </w:tc>
        <w:tc>
          <w:tcPr>
            <w:tcW w:type="dxa" w:w="2664"/>
            <w:shd w:fill="EFF5F4"/>
            <w:tcMar>
              <w:top w:w="85" w:type="dxa"/>
              <w:left w:w="85" w:type="dxa"/>
              <w:bottom w:w="85" w:type="dxa"/>
              <w:right w:w="85" w:type="dxa"/>
            </w:tcMar>
          </w:tcPr>
          <w:p>
            <w:pPr>
              <w:spacing w:after="60" w:line="245" w:lineRule="auto"/>
            </w:pPr>
            <w:r>
              <w:rPr>
                <w:sz w:val="18"/>
              </w:rPr>
              <w:t>Observe pilot rehearsal; triage</w:t>
            </w:r>
          </w:p>
        </w:tc>
        <w:tc>
          <w:tcPr>
            <w:tcW w:type="dxa" w:w="3816"/>
            <w:shd w:fill="EFF5F4"/>
            <w:tcMar>
              <w:top w:w="85" w:type="dxa"/>
              <w:left w:w="85" w:type="dxa"/>
              <w:bottom w:w="85" w:type="dxa"/>
              <w:right w:w="85" w:type="dxa"/>
            </w:tcMar>
          </w:tcPr>
          <w:p>
            <w:pPr>
              <w:spacing w:after="60" w:line="245" w:lineRule="auto"/>
            </w:pPr>
            <w:r>
              <w:rPr>
                <w:sz w:val="18"/>
              </w:rPr>
              <w:t>V0.09: release candidate, restore/rollback drill</w:t>
            </w:r>
          </w:p>
        </w:tc>
        <w:tc>
          <w:tcPr>
            <w:tcW w:type="dxa" w:w="1656"/>
            <w:shd w:fill="EFF5F4"/>
            <w:tcMar>
              <w:top w:w="85" w:type="dxa"/>
              <w:left w:w="85" w:type="dxa"/>
              <w:bottom w:w="85" w:type="dxa"/>
              <w:right w:w="85" w:type="dxa"/>
            </w:tcMar>
          </w:tcPr>
          <w:p>
            <w:pPr>
              <w:spacing w:after="60" w:line="245" w:lineRule="auto"/>
            </w:pPr>
            <w:r>
              <w:rPr>
                <w:sz w:val="18"/>
              </w:rPr>
              <w:t>G09 • 01 Oct</w:t>
            </w:r>
          </w:p>
        </w:tc>
      </w:tr>
      <w:tr>
        <w:trPr>
          <w:cantSplit/>
        </w:trPr>
        <w:tc>
          <w:tcPr>
            <w:tcW w:type="dxa" w:w="1656"/>
            <w:shd w:fill="FFFFFF"/>
            <w:tcMar>
              <w:top w:w="85" w:type="dxa"/>
              <w:left w:w="85" w:type="dxa"/>
              <w:bottom w:w="85" w:type="dxa"/>
              <w:right w:w="85" w:type="dxa"/>
            </w:tcMar>
          </w:tcPr>
          <w:p>
            <w:pPr>
              <w:spacing w:after="60" w:line="245" w:lineRule="auto"/>
            </w:pPr>
            <w:r>
              <w:rPr>
                <w:sz w:val="18"/>
              </w:rPr>
              <w:t>02 Oct</w:t>
              <w:br/>
              <w:t>Fri</w:t>
            </w:r>
          </w:p>
        </w:tc>
        <w:tc>
          <w:tcPr>
            <w:tcW w:type="dxa" w:w="2664"/>
            <w:shd w:fill="FFFFFF"/>
            <w:tcMar>
              <w:top w:w="85" w:type="dxa"/>
              <w:left w:w="85" w:type="dxa"/>
              <w:bottom w:w="85" w:type="dxa"/>
              <w:right w:w="85" w:type="dxa"/>
            </w:tcMar>
          </w:tcPr>
          <w:p>
            <w:pPr>
              <w:spacing w:after="60" w:line="245" w:lineRule="auto"/>
            </w:pPr>
            <w:r>
              <w:rPr>
                <w:sz w:val="18"/>
              </w:rPr>
              <w:t>Close product blockers; prepare invitation list</w:t>
            </w:r>
          </w:p>
        </w:tc>
        <w:tc>
          <w:tcPr>
            <w:tcW w:type="dxa" w:w="3816"/>
            <w:shd w:fill="FFFFFF"/>
            <w:tcMar>
              <w:top w:w="85" w:type="dxa"/>
              <w:left w:w="85" w:type="dxa"/>
              <w:bottom w:w="85" w:type="dxa"/>
              <w:right w:w="85" w:type="dxa"/>
            </w:tcMar>
          </w:tcPr>
          <w:p>
            <w:pPr>
              <w:spacing w:after="60" w:line="245" w:lineRule="auto"/>
            </w:pPr>
            <w:r>
              <w:rPr>
                <w:sz w:val="18"/>
              </w:rPr>
              <w:t>Fix/retest only; freeze release candidate</w:t>
            </w:r>
          </w:p>
        </w:tc>
        <w:tc>
          <w:tcPr>
            <w:tcW w:type="dxa" w:w="1656"/>
            <w:shd w:fill="FFFFFF"/>
            <w:tcMar>
              <w:top w:w="85" w:type="dxa"/>
              <w:left w:w="85" w:type="dxa"/>
              <w:bottom w:w="85" w:type="dxa"/>
              <w:right w:w="85" w:type="dxa"/>
            </w:tcMar>
          </w:tcPr>
          <w:p>
            <w:pPr>
              <w:spacing w:after="60" w:line="245" w:lineRule="auto"/>
            </w:pPr>
            <w:r>
              <w:rPr>
                <w:sz w:val="18"/>
              </w:rPr>
              <w:t>Release buffer</w:t>
            </w:r>
          </w:p>
        </w:tc>
      </w:tr>
      <w:tr>
        <w:trPr>
          <w:cantSplit/>
        </w:trPr>
        <w:tc>
          <w:tcPr>
            <w:tcW w:type="dxa" w:w="1656"/>
            <w:shd w:fill="EFF5F4"/>
            <w:tcMar>
              <w:top w:w="85" w:type="dxa"/>
              <w:left w:w="85" w:type="dxa"/>
              <w:bottom w:w="85" w:type="dxa"/>
              <w:right w:w="85" w:type="dxa"/>
            </w:tcMar>
          </w:tcPr>
          <w:p>
            <w:pPr>
              <w:spacing w:after="60" w:line="245" w:lineRule="auto"/>
            </w:pPr>
            <w:r>
              <w:rPr>
                <w:sz w:val="18"/>
              </w:rPr>
              <w:t>05 Oct</w:t>
              <w:br/>
              <w:t>Mon</w:t>
            </w:r>
          </w:p>
        </w:tc>
        <w:tc>
          <w:tcPr>
            <w:tcW w:type="dxa" w:w="2664"/>
            <w:shd w:fill="EFF5F4"/>
            <w:tcMar>
              <w:top w:w="85" w:type="dxa"/>
              <w:left w:w="85" w:type="dxa"/>
              <w:bottom w:w="85" w:type="dxa"/>
              <w:right w:w="85" w:type="dxa"/>
            </w:tcMar>
          </w:tcPr>
          <w:p>
            <w:pPr>
              <w:spacing w:after="60" w:line="245" w:lineRule="auto"/>
            </w:pPr>
            <w:r>
              <w:rPr>
                <w:sz w:val="18"/>
              </w:rPr>
              <w:t>Joint go/no-go; invite first cohort</w:t>
            </w:r>
          </w:p>
        </w:tc>
        <w:tc>
          <w:tcPr>
            <w:tcW w:type="dxa" w:w="3816"/>
            <w:shd w:fill="EFF5F4"/>
            <w:tcMar>
              <w:top w:w="85" w:type="dxa"/>
              <w:left w:w="85" w:type="dxa"/>
              <w:bottom w:w="85" w:type="dxa"/>
              <w:right w:w="85" w:type="dxa"/>
            </w:tcMar>
          </w:tcPr>
          <w:p>
            <w:pPr>
              <w:spacing w:after="60" w:line="245" w:lineRule="auto"/>
            </w:pPr>
            <w:r>
              <w:rPr>
                <w:sz w:val="18"/>
              </w:rPr>
              <w:t>V0.1: deploy, smoke, monitor</w:t>
            </w:r>
          </w:p>
        </w:tc>
        <w:tc>
          <w:tcPr>
            <w:tcW w:type="dxa" w:w="1656"/>
            <w:shd w:fill="EFF5F4"/>
            <w:tcMar>
              <w:top w:w="85" w:type="dxa"/>
              <w:left w:w="85" w:type="dxa"/>
              <w:bottom w:w="85" w:type="dxa"/>
              <w:right w:w="85" w:type="dxa"/>
            </w:tcMar>
          </w:tcPr>
          <w:p>
            <w:pPr>
              <w:spacing w:after="60" w:line="245" w:lineRule="auto"/>
            </w:pPr>
            <w:r>
              <w:rPr>
                <w:sz w:val="18"/>
              </w:rPr>
              <w:t>G10 • release</w:t>
            </w:r>
          </w:p>
        </w:tc>
      </w:tr>
    </w:tbl>
    <w:p/>
    <w:p>
      <w:r>
        <w:t>Planning envelope: 21 weekdays from 07 September through 05 October. Propose 4 focused George hours/day (84 hours), reserving 20% for defects/review: about 67 implementation hours. André: 1 hour/weekday before 19 September, then 3 hours/weekday. Confirm actual availability on 07 September; if less, apply the de-scope rules immediately. These are capacity assumptions, not recorded commitments.</w:t>
      </w:r>
    </w:p>
    <w:p>
      <w:r>
        <w:br w:type="page"/>
      </w:r>
    </w:p>
    <w:p>
      <w:pPr>
        <w:pStyle w:val="Subtitle"/>
      </w:pPr>
      <w:r>
        <w:t>3 • WORKING AGREEMENT</w:t>
      </w:r>
    </w:p>
    <w:p>
      <w:pPr>
        <w:pStyle w:val="Heading1"/>
      </w:pPr>
      <w:r>
        <w:t>Two owners, one delivery queue</w:t>
      </w:r>
    </w:p>
    <w:tbl>
      <w:tblPr>
        <w:tblW w:type="auto" w:w="0"/>
        <w:tblLayout w:type="fixed"/>
        <w:tblLook w:firstColumn="1" w:firstRow="1" w:lastColumn="0" w:lastRow="0" w:noHBand="0" w:noVBand="1" w:val="04A0"/>
      </w:tblPr>
      <w:tblGrid>
        <w:gridCol w:w="2520"/>
        <w:gridCol w:w="1872"/>
        <w:gridCol w:w="5400"/>
      </w:tblGrid>
      <w:tr>
        <w:trPr>
          <w:cantSplit/>
          <w:tblHeader/>
        </w:trPr>
        <w:tc>
          <w:tcPr>
            <w:tcW w:type="dxa" w:w="3278"/>
            <w:shd w:fill="163C43"/>
            <w:tcMar>
              <w:top w:w="85" w:type="dxa"/>
              <w:left w:w="85" w:type="dxa"/>
              <w:bottom w:w="85" w:type="dxa"/>
              <w:right w:w="85" w:type="dxa"/>
            </w:tcMar>
          </w:tcPr>
          <w:p>
            <w:pPr>
              <w:spacing w:after="60" w:line="245" w:lineRule="auto"/>
            </w:pPr>
            <w:r>
              <w:rPr>
                <w:b/>
                <w:color w:val="FFFFFF"/>
                <w:sz w:val="18"/>
              </w:rPr>
              <w:t>Area</w:t>
            </w:r>
          </w:p>
        </w:tc>
        <w:tc>
          <w:tcPr>
            <w:tcW w:type="dxa" w:w="3278"/>
            <w:shd w:fill="163C43"/>
            <w:tcMar>
              <w:top w:w="85" w:type="dxa"/>
              <w:left w:w="85" w:type="dxa"/>
              <w:bottom w:w="85" w:type="dxa"/>
              <w:right w:w="85" w:type="dxa"/>
            </w:tcMar>
          </w:tcPr>
          <w:p>
            <w:pPr>
              <w:spacing w:after="60" w:line="245" w:lineRule="auto"/>
            </w:pPr>
            <w:r>
              <w:rPr>
                <w:b/>
                <w:color w:val="FFFFFF"/>
                <w:sz w:val="18"/>
              </w:rPr>
              <w:t>Accountable owner</w:t>
            </w:r>
          </w:p>
        </w:tc>
        <w:tc>
          <w:tcPr>
            <w:tcW w:type="dxa" w:w="3278"/>
            <w:shd w:fill="163C43"/>
            <w:tcMar>
              <w:top w:w="85" w:type="dxa"/>
              <w:left w:w="85" w:type="dxa"/>
              <w:bottom w:w="85" w:type="dxa"/>
              <w:right w:w="85" w:type="dxa"/>
            </w:tcMar>
          </w:tcPr>
          <w:p>
            <w:pPr>
              <w:spacing w:after="60" w:line="245" w:lineRule="auto"/>
            </w:pPr>
            <w:r>
              <w:rPr>
                <w:b/>
                <w:color w:val="FFFFFF"/>
                <w:sz w:val="18"/>
              </w:rPr>
              <w:t>Decision and working rule</w:t>
            </w:r>
          </w:p>
        </w:tc>
      </w:tr>
      <w:tr>
        <w:trPr>
          <w:cantSplit/>
        </w:trPr>
        <w:tc>
          <w:tcPr>
            <w:tcW w:type="dxa" w:w="2520"/>
            <w:shd w:fill="EFF5F4"/>
            <w:tcMar>
              <w:top w:w="85" w:type="dxa"/>
              <w:left w:w="85" w:type="dxa"/>
              <w:bottom w:w="85" w:type="dxa"/>
              <w:right w:w="85" w:type="dxa"/>
            </w:tcMar>
          </w:tcPr>
          <w:p>
            <w:pPr>
              <w:spacing w:after="60" w:line="245" w:lineRule="auto"/>
            </w:pPr>
            <w:r>
              <w:rPr>
                <w:sz w:val="18"/>
              </w:rPr>
              <w:t>Product direction, UX, design and canon</w:t>
            </w:r>
          </w:p>
        </w:tc>
        <w:tc>
          <w:tcPr>
            <w:tcW w:type="dxa" w:w="1872"/>
            <w:shd w:fill="EFF5F4"/>
            <w:tcMar>
              <w:top w:w="85" w:type="dxa"/>
              <w:left w:w="85" w:type="dxa"/>
              <w:bottom w:w="85" w:type="dxa"/>
              <w:right w:w="85" w:type="dxa"/>
            </w:tcMar>
          </w:tcPr>
          <w:p>
            <w:pPr>
              <w:spacing w:after="60" w:line="245" w:lineRule="auto"/>
            </w:pPr>
            <w:r>
              <w:rPr>
                <w:sz w:val="18"/>
              </w:rPr>
              <w:t>André</w:t>
            </w:r>
          </w:p>
        </w:tc>
        <w:tc>
          <w:tcPr>
            <w:tcW w:type="dxa" w:w="5400"/>
            <w:shd w:fill="EFF5F4"/>
            <w:tcMar>
              <w:top w:w="85" w:type="dxa"/>
              <w:left w:w="85" w:type="dxa"/>
              <w:bottom w:w="85" w:type="dxa"/>
              <w:right w:w="85" w:type="dxa"/>
            </w:tcMar>
          </w:tcPr>
          <w:p>
            <w:pPr>
              <w:spacing w:after="60" w:line="245" w:lineRule="auto"/>
            </w:pPr>
            <w:r>
              <w:rPr>
                <w:sz w:val="18"/>
              </w:rPr>
              <w:t>Defines user outcome, Figma scope, behaviour, acceptance and priority. Delivers the next increment’s handoff one working day before build.</w:t>
            </w:r>
          </w:p>
        </w:tc>
      </w:tr>
      <w:tr>
        <w:trPr>
          <w:cantSplit/>
        </w:trPr>
        <w:tc>
          <w:tcPr>
            <w:tcW w:type="dxa" w:w="2520"/>
            <w:shd w:fill="FFFFFF"/>
            <w:tcMar>
              <w:top w:w="85" w:type="dxa"/>
              <w:left w:w="85" w:type="dxa"/>
              <w:bottom w:w="85" w:type="dxa"/>
              <w:right w:w="85" w:type="dxa"/>
            </w:tcMar>
          </w:tcPr>
          <w:p>
            <w:pPr>
              <w:spacing w:after="60" w:line="245" w:lineRule="auto"/>
            </w:pPr>
            <w:r>
              <w:rPr>
                <w:sz w:val="18"/>
              </w:rPr>
              <w:t>Implementation and engineering</w:t>
            </w:r>
          </w:p>
        </w:tc>
        <w:tc>
          <w:tcPr>
            <w:tcW w:type="dxa" w:w="1872"/>
            <w:shd w:fill="FFFFFF"/>
            <w:tcMar>
              <w:top w:w="85" w:type="dxa"/>
              <w:left w:w="85" w:type="dxa"/>
              <w:bottom w:w="85" w:type="dxa"/>
              <w:right w:w="85" w:type="dxa"/>
            </w:tcMar>
          </w:tcPr>
          <w:p>
            <w:pPr>
              <w:spacing w:after="60" w:line="245" w:lineRule="auto"/>
            </w:pPr>
            <w:r>
              <w:rPr>
                <w:sz w:val="18"/>
              </w:rPr>
              <w:t>George</w:t>
            </w:r>
          </w:p>
        </w:tc>
        <w:tc>
          <w:tcPr>
            <w:tcW w:type="dxa" w:w="5400"/>
            <w:shd w:fill="FFFFFF"/>
            <w:tcMar>
              <w:top w:w="85" w:type="dxa"/>
              <w:left w:w="85" w:type="dxa"/>
              <w:bottom w:w="85" w:type="dxa"/>
              <w:right w:w="85" w:type="dxa"/>
            </w:tcMar>
          </w:tcPr>
          <w:p>
            <w:pPr>
              <w:spacing w:after="60" w:line="245" w:lineRule="auto"/>
            </w:pPr>
            <w:r>
              <w:rPr>
                <w:sz w:val="18"/>
              </w:rPr>
              <w:t>Owns code, stack feasibility, adapters, migrations, testing, CI/CD, deployment and technical estimates. May challenge or veto unsafe/unworkable designs.</w:t>
            </w:r>
          </w:p>
        </w:tc>
      </w:tr>
      <w:tr>
        <w:trPr>
          <w:cantSplit/>
        </w:trPr>
        <w:tc>
          <w:tcPr>
            <w:tcW w:type="dxa" w:w="2520"/>
            <w:shd w:fill="EFF5F4"/>
            <w:tcMar>
              <w:top w:w="85" w:type="dxa"/>
              <w:left w:w="85" w:type="dxa"/>
              <w:bottom w:w="85" w:type="dxa"/>
              <w:right w:w="85" w:type="dxa"/>
            </w:tcMar>
          </w:tcPr>
          <w:p>
            <w:pPr>
              <w:spacing w:after="60" w:line="245" w:lineRule="auto"/>
            </w:pPr>
            <w:r>
              <w:rPr>
                <w:sz w:val="18"/>
              </w:rPr>
              <w:t>Data, AI, security, runtime and infrastructure</w:t>
            </w:r>
          </w:p>
        </w:tc>
        <w:tc>
          <w:tcPr>
            <w:tcW w:type="dxa" w:w="1872"/>
            <w:shd w:fill="EFF5F4"/>
            <w:tcMar>
              <w:top w:w="85" w:type="dxa"/>
              <w:left w:w="85" w:type="dxa"/>
              <w:bottom w:w="85" w:type="dxa"/>
              <w:right w:w="85" w:type="dxa"/>
            </w:tcMar>
          </w:tcPr>
          <w:p>
            <w:pPr>
              <w:spacing w:after="60" w:line="245" w:lineRule="auto"/>
            </w:pPr>
            <w:r>
              <w:rPr>
                <w:sz w:val="18"/>
              </w:rPr>
              <w:t>Joint</w:t>
            </w:r>
          </w:p>
        </w:tc>
        <w:tc>
          <w:tcPr>
            <w:tcW w:type="dxa" w:w="5400"/>
            <w:shd w:fill="EFF5F4"/>
            <w:tcMar>
              <w:top w:w="85" w:type="dxa"/>
              <w:left w:w="85" w:type="dxa"/>
              <w:bottom w:w="85" w:type="dxa"/>
              <w:right w:w="85" w:type="dxa"/>
            </w:tcMar>
          </w:tcPr>
          <w:p>
            <w:pPr>
              <w:spacing w:after="60" w:line="245" w:lineRule="auto"/>
            </w:pPr>
            <w:r>
              <w:rPr>
                <w:sz w:val="18"/>
              </w:rPr>
              <w:t>André sets product/privacy intent; George proposes implementation and evidence. Record consequential choices in ADRs.</w:t>
            </w:r>
          </w:p>
        </w:tc>
      </w:tr>
      <w:tr>
        <w:trPr>
          <w:cantSplit/>
        </w:trPr>
        <w:tc>
          <w:tcPr>
            <w:tcW w:type="dxa" w:w="2520"/>
            <w:shd w:fill="FFFFFF"/>
            <w:tcMar>
              <w:top w:w="85" w:type="dxa"/>
              <w:left w:w="85" w:type="dxa"/>
              <w:bottom w:w="85" w:type="dxa"/>
              <w:right w:w="85" w:type="dxa"/>
            </w:tcMar>
          </w:tcPr>
          <w:p>
            <w:pPr>
              <w:spacing w:after="60" w:line="245" w:lineRule="auto"/>
            </w:pPr>
            <w:r>
              <w:rPr>
                <w:sz w:val="18"/>
              </w:rPr>
              <w:t>Release and de-scope</w:t>
            </w:r>
          </w:p>
        </w:tc>
        <w:tc>
          <w:tcPr>
            <w:tcW w:type="dxa" w:w="1872"/>
            <w:shd w:fill="FFFFFF"/>
            <w:tcMar>
              <w:top w:w="85" w:type="dxa"/>
              <w:left w:w="85" w:type="dxa"/>
              <w:bottom w:w="85" w:type="dxa"/>
              <w:right w:w="85" w:type="dxa"/>
            </w:tcMar>
          </w:tcPr>
          <w:p>
            <w:pPr>
              <w:spacing w:after="60" w:line="245" w:lineRule="auto"/>
            </w:pPr>
            <w:r>
              <w:rPr>
                <w:sz w:val="18"/>
              </w:rPr>
              <w:t>Joint</w:t>
            </w:r>
          </w:p>
        </w:tc>
        <w:tc>
          <w:tcPr>
            <w:tcW w:type="dxa" w:w="5400"/>
            <w:shd w:fill="FFFFFF"/>
            <w:tcMar>
              <w:top w:w="85" w:type="dxa"/>
              <w:left w:w="85" w:type="dxa"/>
              <w:bottom w:w="85" w:type="dxa"/>
              <w:right w:w="85" w:type="dxa"/>
            </w:tcMar>
          </w:tcPr>
          <w:p>
            <w:pPr>
              <w:spacing w:after="60" w:line="245" w:lineRule="auto"/>
            </w:pPr>
            <w:r>
              <w:rPr>
                <w:sz w:val="18"/>
              </w:rPr>
              <w:t>Both sign each gate. André cannot waive a security failure; George cannot silently remove product outcomes.</w:t>
            </w:r>
          </w:p>
        </w:tc>
      </w:tr>
      <w:tr>
        <w:trPr>
          <w:cantSplit/>
        </w:trPr>
        <w:tc>
          <w:tcPr>
            <w:tcW w:type="dxa" w:w="2520"/>
            <w:shd w:fill="EFF5F4"/>
            <w:tcMar>
              <w:top w:w="85" w:type="dxa"/>
              <w:left w:w="85" w:type="dxa"/>
              <w:bottom w:w="85" w:type="dxa"/>
              <w:right w:w="85" w:type="dxa"/>
            </w:tcMar>
          </w:tcPr>
          <w:p>
            <w:pPr>
              <w:spacing w:after="60" w:line="245" w:lineRule="auto"/>
            </w:pPr>
            <w:r>
              <w:rPr>
                <w:sz w:val="18"/>
              </w:rPr>
              <w:t>Commercial role and contribution terms</w:t>
            </w:r>
          </w:p>
        </w:tc>
        <w:tc>
          <w:tcPr>
            <w:tcW w:type="dxa" w:w="1872"/>
            <w:shd w:fill="EFF5F4"/>
            <w:tcMar>
              <w:top w:w="85" w:type="dxa"/>
              <w:left w:w="85" w:type="dxa"/>
              <w:bottom w:w="85" w:type="dxa"/>
              <w:right w:w="85" w:type="dxa"/>
            </w:tcMar>
          </w:tcPr>
          <w:p>
            <w:pPr>
              <w:spacing w:after="60" w:line="245" w:lineRule="auto"/>
            </w:pPr>
            <w:r>
              <w:rPr>
                <w:sz w:val="18"/>
              </w:rPr>
              <w:t>André + George</w:t>
            </w:r>
          </w:p>
        </w:tc>
        <w:tc>
          <w:tcPr>
            <w:tcW w:type="dxa" w:w="5400"/>
            <w:shd w:fill="EFF5F4"/>
            <w:tcMar>
              <w:top w:w="85" w:type="dxa"/>
              <w:left w:w="85" w:type="dxa"/>
              <w:bottom w:w="85" w:type="dxa"/>
              <w:right w:w="85" w:type="dxa"/>
            </w:tcMar>
          </w:tcPr>
          <w:p>
            <w:pPr>
              <w:spacing w:after="60" w:line="245" w:lineRule="auto"/>
            </w:pPr>
            <w:r>
              <w:rPr>
                <w:sz w:val="18"/>
              </w:rPr>
              <w:t>Confirm time, decision rights, confidentiality and contribution/IP arrangements separately; “co-founder” in the call does not settle equity or legal terms.</w:t>
            </w:r>
          </w:p>
        </w:tc>
      </w:tr>
    </w:tbl>
    <w:p/>
    <w:p>
      <w:pPr>
        <w:pStyle w:val="Heading2"/>
      </w:pPr>
      <w:r>
        <w:t>Cadence</w:t>
      </w:r>
    </w:p>
    <w:p>
      <w:pPr>
        <w:pStyle w:val="ListBullet"/>
      </w:pPr>
      <w:r>
        <w:t>Daily by 10:00: five-minute asynchronous update — changed, next, blocked, decision needed, increment. Proposed default until availability is agreed.</w:t>
      </w:r>
    </w:p>
    <w:p>
      <w:pPr>
        <w:pStyle w:val="ListBullet"/>
      </w:pPr>
      <w:r>
        <w:t>Monday: 25-minute capacity, dependencies and scope review. Wednesday: 20-minute product/engineering demo. Friday: 30-minute gate/evidence and risk review; add short gates on target dates as needed.</w:t>
      </w:r>
    </w:p>
    <w:p>
      <w:pPr>
        <w:pStyle w:val="ListBullet"/>
      </w:pPr>
      <w:r>
        <w:t>One active build increment at a time; André may prepare the next. George keeps one main implementation item plus one urgent fix. Each issue has outcome, owner, estimate, dependency, acceptance and evidence link.</w:t>
      </w:r>
    </w:p>
    <w:p>
      <w:pPr>
        <w:pStyle w:val="ListBullet"/>
      </w:pPr>
      <w:r>
        <w:t>After 30 minutes blocked, log the smallest decision needed and continue independent work. Owner responds within one working day. A critical-path block exceeding one day triggers a joint scope/date decision.</w:t>
      </w:r>
    </w:p>
    <w:p>
      <w:pPr>
        <w:pStyle w:val="ListBullet"/>
      </w:pPr>
      <w:r>
        <w:t>After 19 September, use André’s increased availability for UAT, copy, scenarios and evidence collection; do not create a second uncoordinated implementation stream.</w:t>
      </w:r>
    </w:p>
    <w:p>
      <w:pPr>
        <w:pStyle w:val="Heading2"/>
      </w:pPr>
      <w:r>
        <w:t>Gate protocol and common definition of done</w:t>
      </w:r>
    </w:p>
    <w:p>
      <w:r>
        <w:t>For every increment: George demonstrates the tagged candidate from a clean commit, attaches relevant test results and known issues, and confirms the previous gates still pass. André checks the specified journey against the pinned Figma frames and acceptance criteria. Both record PASS or FAIL in the increment contract. A FAIL retains the current gate and produces named fixes; never relabel incomplete work as a later version.</w:t>
      </w:r>
    </w:p>
    <w:p>
      <w:r>
        <w:t>PASS requires implemented scope, committed contracts/migrations, review, appropriate tests, traceability, updated runbook where behaviour changes, no open release-blocking defect, and both owners’ dated approval. Version tags follow approval. Minor defects require an owner, workaround and target date. This common definition plus the specific gate on each increment page is its full definition of done.</w:t>
      </w:r>
    </w:p>
    <w:p>
      <w:r>
        <w:br w:type="page"/>
      </w:r>
    </w:p>
    <w:p>
      <w:pPr>
        <w:pStyle w:val="Subtitle"/>
      </w:pPr>
      <w:r>
        <w:t>4 • CANON AND HANDOFF</w:t>
      </w:r>
    </w:p>
    <w:p>
      <w:pPr>
        <w:pStyle w:val="Heading1"/>
      </w:pPr>
      <w:r>
        <w:t>Make the build reference unambiguous</w:t>
      </w:r>
    </w:p>
    <w:tbl>
      <w:tblPr>
        <w:tblW w:type="auto" w:w="0"/>
        <w:tblLayout w:type="fixed"/>
        <w:tblLook w:firstColumn="1" w:firstRow="1" w:lastColumn="0" w:lastRow="0" w:noHBand="0" w:noVBand="1" w:val="04A0"/>
      </w:tblPr>
      <w:tblGrid>
        <w:gridCol w:w="2304"/>
        <w:gridCol w:w="7488"/>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Authority</w:t>
            </w:r>
          </w:p>
        </w:tc>
        <w:tc>
          <w:tcPr>
            <w:tcW w:type="dxa" w:w="4917"/>
            <w:shd w:fill="163C43"/>
            <w:tcMar>
              <w:top w:w="85" w:type="dxa"/>
              <w:left w:w="85" w:type="dxa"/>
              <w:bottom w:w="85" w:type="dxa"/>
              <w:right w:w="85" w:type="dxa"/>
            </w:tcMar>
          </w:tcPr>
          <w:p>
            <w:pPr>
              <w:spacing w:after="60" w:line="245" w:lineRule="auto"/>
            </w:pPr>
            <w:r>
              <w:rPr>
                <w:b/>
                <w:color w:val="FFFFFF"/>
                <w:sz w:val="18"/>
              </w:rPr>
              <w:t>Location / rule</w:t>
            </w:r>
          </w:p>
        </w:tc>
      </w:tr>
      <w:tr>
        <w:trPr>
          <w:cantSplit/>
        </w:trPr>
        <w:tc>
          <w:tcPr>
            <w:tcW w:type="dxa" w:w="2304"/>
            <w:shd w:fill="EFF5F4"/>
            <w:tcMar>
              <w:top w:w="85" w:type="dxa"/>
              <w:left w:w="85" w:type="dxa"/>
              <w:bottom w:w="85" w:type="dxa"/>
              <w:right w:w="85" w:type="dxa"/>
            </w:tcMar>
          </w:tcPr>
          <w:p>
            <w:pPr>
              <w:spacing w:after="60" w:line="245" w:lineRule="auto"/>
            </w:pPr>
            <w:r>
              <w:rPr>
                <w:sz w:val="18"/>
              </w:rPr>
              <w:t>Product behaviour</w:t>
            </w:r>
          </w:p>
        </w:tc>
        <w:tc>
          <w:tcPr>
            <w:tcW w:type="dxa" w:w="7488"/>
            <w:shd w:fill="EFF5F4"/>
            <w:tcMar>
              <w:top w:w="85" w:type="dxa"/>
              <w:left w:w="85" w:type="dxa"/>
              <w:bottom w:w="85" w:type="dxa"/>
              <w:right w:w="85" w:type="dxa"/>
            </w:tcMar>
          </w:tcPr>
          <w:p>
            <w:pPr>
              <w:spacing w:after="60" w:line="245" w:lineRule="auto"/>
            </w:pPr>
            <w:r>
              <w:rPr>
                <w:sz w:val="18"/>
              </w:rPr>
              <w:t>Versioned PRD + docs/versions/V0.xx.md govern outcomes and acceptance. This plan becomes canonical only when adopted and linked in docs/CANON.md.</w:t>
            </w:r>
          </w:p>
        </w:tc>
      </w:tr>
      <w:tr>
        <w:trPr>
          <w:cantSplit/>
        </w:trPr>
        <w:tc>
          <w:tcPr>
            <w:tcW w:type="dxa" w:w="2304"/>
            <w:shd w:fill="FFFFFF"/>
            <w:tcMar>
              <w:top w:w="85" w:type="dxa"/>
              <w:left w:w="85" w:type="dxa"/>
              <w:bottom w:w="85" w:type="dxa"/>
              <w:right w:w="85" w:type="dxa"/>
            </w:tcMar>
          </w:tcPr>
          <w:p>
            <w:pPr>
              <w:spacing w:after="60" w:line="245" w:lineRule="auto"/>
            </w:pPr>
            <w:r>
              <w:rPr>
                <w:sz w:val="18"/>
              </w:rPr>
              <w:t>Visual design</w:t>
            </w:r>
          </w:p>
        </w:tc>
        <w:tc>
          <w:tcPr>
            <w:tcW w:type="dxa" w:w="7488"/>
            <w:shd w:fill="FFFFFF"/>
            <w:tcMar>
              <w:top w:w="85" w:type="dxa"/>
              <w:left w:w="85" w:type="dxa"/>
              <w:bottom w:w="85" w:type="dxa"/>
              <w:right w:w="85" w:type="dxa"/>
            </w:tcMar>
          </w:tcPr>
          <w:p>
            <w:pPr>
              <w:spacing w:after="60" w:line="245" w:lineRule="auto"/>
            </w:pPr>
            <w:r>
              <w:rPr>
                <w:sz w:val="18"/>
              </w:rPr>
              <w:t>Pinned Figma file/page/node links and token/component references govern appearance. Page 7 is the call’s starting reference, not permission to build its entire canvas.</w:t>
            </w:r>
          </w:p>
        </w:tc>
      </w:tr>
      <w:tr>
        <w:trPr>
          <w:cantSplit/>
        </w:trPr>
        <w:tc>
          <w:tcPr>
            <w:tcW w:type="dxa" w:w="2304"/>
            <w:shd w:fill="EFF5F4"/>
            <w:tcMar>
              <w:top w:w="85" w:type="dxa"/>
              <w:left w:w="85" w:type="dxa"/>
              <w:bottom w:w="85" w:type="dxa"/>
              <w:right w:w="85" w:type="dxa"/>
            </w:tcMar>
          </w:tcPr>
          <w:p>
            <w:pPr>
              <w:spacing w:after="60" w:line="245" w:lineRule="auto"/>
            </w:pPr>
            <w:r>
              <w:rPr>
                <w:sz w:val="18"/>
              </w:rPr>
              <w:t>Engineering decisions</w:t>
            </w:r>
          </w:p>
        </w:tc>
        <w:tc>
          <w:tcPr>
            <w:tcW w:type="dxa" w:w="7488"/>
            <w:shd w:fill="EFF5F4"/>
            <w:tcMar>
              <w:top w:w="85" w:type="dxa"/>
              <w:left w:w="85" w:type="dxa"/>
              <w:bottom w:w="85" w:type="dxa"/>
              <w:right w:w="85" w:type="dxa"/>
            </w:tcMar>
          </w:tcPr>
          <w:p>
            <w:pPr>
              <w:spacing w:after="60" w:line="245" w:lineRule="auto"/>
            </w:pPr>
            <w:r>
              <w:rPr>
                <w:sz w:val="18"/>
              </w:rPr>
              <w:t>Accepted ADRs, API schemas and migration files in the selected product repository. Existing ADR numbers are preserved; use ADR-V01-* for this plan.</w:t>
            </w:r>
          </w:p>
        </w:tc>
      </w:tr>
      <w:tr>
        <w:trPr>
          <w:cantSplit/>
        </w:trPr>
        <w:tc>
          <w:tcPr>
            <w:tcW w:type="dxa" w:w="2304"/>
            <w:shd w:fill="FFFFFF"/>
            <w:tcMar>
              <w:top w:w="85" w:type="dxa"/>
              <w:left w:w="85" w:type="dxa"/>
              <w:bottom w:w="85" w:type="dxa"/>
              <w:right w:w="85" w:type="dxa"/>
            </w:tcMar>
          </w:tcPr>
          <w:p>
            <w:pPr>
              <w:spacing w:after="60" w:line="245" w:lineRule="auto"/>
            </w:pPr>
            <w:r>
              <w:rPr>
                <w:sz w:val="18"/>
              </w:rPr>
              <w:t>Executable release</w:t>
            </w:r>
          </w:p>
        </w:tc>
        <w:tc>
          <w:tcPr>
            <w:tcW w:type="dxa" w:w="7488"/>
            <w:shd w:fill="FFFFFF"/>
            <w:tcMar>
              <w:top w:w="85" w:type="dxa"/>
              <w:left w:w="85" w:type="dxa"/>
              <w:bottom w:w="85" w:type="dxa"/>
              <w:right w:w="85" w:type="dxa"/>
            </w:tcMar>
          </w:tcPr>
          <w:p>
            <w:pPr>
              <w:spacing w:after="60" w:line="245" w:lineRule="auto"/>
            </w:pPr>
            <w:r>
              <w:rPr>
                <w:sz w:val="18"/>
              </w:rPr>
              <w:t>One clean commit, successful CI run and immutable deploy artefact. Runtime version/digest and schema version are pinned alongside it.</w:t>
            </w:r>
          </w:p>
        </w:tc>
      </w:tr>
      <w:tr>
        <w:trPr>
          <w:cantSplit/>
        </w:trPr>
        <w:tc>
          <w:tcPr>
            <w:tcW w:type="dxa" w:w="2304"/>
            <w:shd w:fill="EFF5F4"/>
            <w:tcMar>
              <w:top w:w="85" w:type="dxa"/>
              <w:left w:w="85" w:type="dxa"/>
              <w:bottom w:w="85" w:type="dxa"/>
              <w:right w:w="85" w:type="dxa"/>
            </w:tcMar>
          </w:tcPr>
          <w:p>
            <w:pPr>
              <w:spacing w:after="60" w:line="245" w:lineRule="auto"/>
            </w:pPr>
            <w:r>
              <w:rPr>
                <w:sz w:val="18"/>
              </w:rPr>
              <w:t>Exports and conversations</w:t>
            </w:r>
          </w:p>
        </w:tc>
        <w:tc>
          <w:tcPr>
            <w:tcW w:type="dxa" w:w="7488"/>
            <w:shd w:fill="EFF5F4"/>
            <w:tcMar>
              <w:top w:w="85" w:type="dxa"/>
              <w:left w:w="85" w:type="dxa"/>
              <w:bottom w:w="85" w:type="dxa"/>
              <w:right w:w="85" w:type="dxa"/>
            </w:tcMar>
          </w:tcPr>
          <w:p>
            <w:pPr>
              <w:spacing w:after="60" w:line="245" w:lineRule="auto"/>
            </w:pPr>
            <w:r>
              <w:rPr>
                <w:sz w:val="18"/>
              </w:rPr>
              <w:t>DOCX, ZIPs, screenshots and chats are review aids. Accepted edits must be reconciled into versioned contracts; they do not silently override them.</w:t>
            </w:r>
          </w:p>
        </w:tc>
      </w:tr>
    </w:tbl>
    <w:p/>
    <w:p>
      <w:pPr>
        <w:pStyle w:val="Heading2"/>
      </w:pPr>
      <w:r>
        <w:t>First 72-hour source freeze</w:t>
      </w:r>
    </w:p>
    <w:p>
      <w:r>
        <w:t>André identifies the product repository, current PRD revision and exact Figma nodes in docs/CANON.md. George records the starting commit, deployed revision, runtime repository/version and database migration status. Classify reusable code and design as canonical, reference, legacy, exploration or condemned. Reproduce before adopting prior “ready” claims. Resolve conflicting claims with an ADR, not by choosing the newest-looking file. [S1, S5]</w:t>
      </w:r>
    </w:p>
    <w:p>
      <w:pPr>
        <w:pStyle w:val="Heading2"/>
      </w:pPr>
      <w:r>
        <w:t>Handoff packet for every increment</w:t>
      </w:r>
    </w:p>
    <w:p>
      <w:pPr>
        <w:pStyle w:val="ListBullet"/>
      </w:pPr>
      <w:r>
        <w:t>A Figma page “V0.xx — CANONICAL BUILD” with version, owner, status, last-updated date and Ready for Dev annotations. Show the increment delta and link to the cumulative end-to-end flow.</w:t>
      </w:r>
    </w:p>
    <w:p>
      <w:pPr>
        <w:pStyle w:val="ListBullet"/>
      </w:pPr>
      <w:r>
        <w:t>Exact frame/node IDs, desktop and mobile layouts, responsive rules, tokens, component variants and exportable assets. Include default, empty, loading, running, error, permission, cancelled and success states relevant to that increment.</w:t>
      </w:r>
    </w:p>
    <w:p>
      <w:pPr>
        <w:pStyle w:val="ListBullet"/>
      </w:pPr>
      <w:r>
        <w:t>A short implementation contract: objective, user outcome, in-scope components, behaviour, data, runtime mode, constraints, pass/fail tests, out-of-scope and known issues.</w:t>
      </w:r>
    </w:p>
    <w:p>
      <w:pPr>
        <w:pStyle w:val="ListBullet"/>
      </w:pPr>
      <w:r>
        <w:t>George confirms access and asset exports using his own account. Build with tokens and existing coded components first; Dev specifications and exported CSS inform implementation but do not constitute production-quality code.</w:t>
      </w:r>
    </w:p>
    <w:p>
      <w:pPr>
        <w:pStyle w:val="ListBullet"/>
      </w:pPr>
      <w:r>
        <w:t>PR links requirement → Figma node → code/contract → test evidence. André reviews running behaviour and visual differences. Generated code and Codex output receive the same review as manual code.</w:t>
      </w:r>
    </w:p>
    <w:p>
      <w:r>
        <w:t>Minimum repository records: README.md, AGENTS.md, docs/CANON.md, docs/BUILD_LADDER.md, docs/versions/, docs/adr/, contracts/, migrations/, tests/ and an operations runbook. Reuse equivalent existing locations instead of reorganising a healthy repository for this plan.</w:t>
      </w:r>
    </w:p>
    <w:p>
      <w:r>
        <w:br w:type="page"/>
      </w:r>
    </w:p>
    <w:p>
      <w:pPr>
        <w:pStyle w:val="Subtitle"/>
      </w:pPr>
      <w:r>
        <w:t>5 • TECHNICAL ARCHITECTURE</w:t>
      </w:r>
    </w:p>
    <w:p>
      <w:pPr>
        <w:pStyle w:val="Heading1"/>
      </w:pPr>
      <w:r>
        <w:t>A product-owned boundary around every runtime</w:t>
      </w:r>
    </w:p>
    <w:p>
      <w:r>
        <w:t>Preferred baseline: retain the viable existing web stack after G01 validation; React/TypeScript web UI, server-side product API/gateway, managed authentication and relational product/NPR storage. The earlier review describes Vercel and Supabase; treat them as candidates to verify, not fresh provisioning instructions. Avoid a cloud migration unless the current platform cannot pass a release gate. [S5]</w:t>
      </w:r>
    </w:p>
    <w:tbl>
      <w:tblPr>
        <w:tblW w:type="auto" w:w="0"/>
        <w:tblLayout w:type="fixed"/>
        <w:tblLook w:firstColumn="1" w:firstRow="1" w:lastColumn="0" w:lastRow="0" w:noHBand="0" w:noVBand="1" w:val="04A0"/>
      </w:tblPr>
      <w:tblGrid>
        <w:gridCol w:w="2376"/>
        <w:gridCol w:w="7416"/>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Layer</w:t>
            </w:r>
          </w:p>
        </w:tc>
        <w:tc>
          <w:tcPr>
            <w:tcW w:type="dxa" w:w="4917"/>
            <w:shd w:fill="163C43"/>
            <w:tcMar>
              <w:top w:w="85" w:type="dxa"/>
              <w:left w:w="85" w:type="dxa"/>
              <w:bottom w:w="85" w:type="dxa"/>
              <w:right w:w="85" w:type="dxa"/>
            </w:tcMar>
          </w:tcPr>
          <w:p>
            <w:pPr>
              <w:spacing w:after="60" w:line="245" w:lineRule="auto"/>
            </w:pPr>
            <w:r>
              <w:rPr>
                <w:b/>
                <w:color w:val="FFFFFF"/>
                <w:sz w:val="18"/>
              </w:rPr>
              <w:t>Responsibility and boundary</w:t>
            </w:r>
          </w:p>
        </w:tc>
      </w:tr>
      <w:tr>
        <w:trPr>
          <w:cantSplit/>
        </w:trPr>
        <w:tc>
          <w:tcPr>
            <w:tcW w:type="dxa" w:w="2376"/>
            <w:shd w:fill="EFF5F4"/>
            <w:tcMar>
              <w:top w:w="85" w:type="dxa"/>
              <w:left w:w="85" w:type="dxa"/>
              <w:bottom w:w="85" w:type="dxa"/>
              <w:right w:w="85" w:type="dxa"/>
            </w:tcMar>
          </w:tcPr>
          <w:p>
            <w:pPr>
              <w:spacing w:after="60" w:line="245" w:lineRule="auto"/>
            </w:pPr>
            <w:r>
              <w:rPr>
                <w:sz w:val="18"/>
              </w:rPr>
              <w:t>Home / Chat / Work / Context</w:t>
            </w:r>
          </w:p>
        </w:tc>
        <w:tc>
          <w:tcPr>
            <w:tcW w:type="dxa" w:w="7416"/>
            <w:shd w:fill="EFF5F4"/>
            <w:tcMar>
              <w:top w:w="85" w:type="dxa"/>
              <w:left w:w="85" w:type="dxa"/>
              <w:bottom w:w="85" w:type="dxa"/>
              <w:right w:w="85" w:type="dxa"/>
            </w:tcMar>
          </w:tcPr>
          <w:p>
            <w:pPr>
              <w:spacing w:after="60" w:line="245" w:lineRule="auto"/>
            </w:pPr>
            <w:r>
              <w:rPr>
                <w:sz w:val="18"/>
              </w:rPr>
              <w:t>One application root and consistent responsive shell. UI consumes product-owned types and safe status labels; no provider keys or native FlowState objects.</w:t>
            </w:r>
          </w:p>
        </w:tc>
      </w:tr>
      <w:tr>
        <w:trPr>
          <w:cantSplit/>
        </w:trPr>
        <w:tc>
          <w:tcPr>
            <w:tcW w:type="dxa" w:w="2376"/>
            <w:shd w:fill="FFFFFF"/>
            <w:tcMar>
              <w:top w:w="85" w:type="dxa"/>
              <w:left w:w="85" w:type="dxa"/>
              <w:bottom w:w="85" w:type="dxa"/>
              <w:right w:w="85" w:type="dxa"/>
            </w:tcMar>
          </w:tcPr>
          <w:p>
            <w:pPr>
              <w:spacing w:after="60" w:line="245" w:lineRule="auto"/>
            </w:pPr>
            <w:r>
              <w:rPr>
                <w:sz w:val="18"/>
              </w:rPr>
              <w:t>Authenticated product API</w:t>
            </w:r>
          </w:p>
        </w:tc>
        <w:tc>
          <w:tcPr>
            <w:tcW w:type="dxa" w:w="7416"/>
            <w:shd w:fill="FFFFFF"/>
            <w:tcMar>
              <w:top w:w="85" w:type="dxa"/>
              <w:left w:w="85" w:type="dxa"/>
              <w:bottom w:w="85" w:type="dxa"/>
              <w:right w:w="85" w:type="dxa"/>
            </w:tcMar>
          </w:tcPr>
          <w:p>
            <w:pPr>
              <w:spacing w:after="60" w:line="245" w:lineRule="auto"/>
            </w:pPr>
            <w:r>
              <w:rPr>
                <w:sz w:val="18"/>
              </w:rPr>
              <w:t>Derives subject identity server-side; authorises every operation; validates inputs; manages conversations, tasks, artefacts, proposals, exports and deletion.</w:t>
            </w:r>
          </w:p>
        </w:tc>
      </w:tr>
      <w:tr>
        <w:trPr>
          <w:cantSplit/>
        </w:trPr>
        <w:tc>
          <w:tcPr>
            <w:tcW w:type="dxa" w:w="2376"/>
            <w:shd w:fill="EFF5F4"/>
            <w:tcMar>
              <w:top w:w="85" w:type="dxa"/>
              <w:left w:w="85" w:type="dxa"/>
              <w:bottom w:w="85" w:type="dxa"/>
              <w:right w:w="85" w:type="dxa"/>
            </w:tcMar>
          </w:tcPr>
          <w:p>
            <w:pPr>
              <w:spacing w:after="60" w:line="245" w:lineRule="auto"/>
            </w:pPr>
            <w:r>
              <w:rPr>
                <w:sz w:val="18"/>
              </w:rPr>
              <w:t>NPR Context Compiler</w:t>
            </w:r>
          </w:p>
        </w:tc>
        <w:tc>
          <w:tcPr>
            <w:tcW w:type="dxa" w:w="7416"/>
            <w:shd w:fill="EFF5F4"/>
            <w:tcMar>
              <w:top w:w="85" w:type="dxa"/>
              <w:left w:w="85" w:type="dxa"/>
              <w:bottom w:w="85" w:type="dxa"/>
              <w:right w:w="85" w:type="dxa"/>
            </w:tcMar>
          </w:tcPr>
          <w:p>
            <w:pPr>
              <w:spacing w:after="60" w:line="245" w:lineRule="auto"/>
            </w:pPr>
            <w:r>
              <w:rPr>
                <w:sz w:val="18"/>
              </w:rPr>
              <w:t>Builds a minimal purpose-bound projection from eligible user-owned context. Excludes restricted, expired, deleted and unconfirmed inferred context. Empty context remains usable.</w:t>
            </w:r>
          </w:p>
        </w:tc>
      </w:tr>
      <w:tr>
        <w:trPr>
          <w:cantSplit/>
        </w:trPr>
        <w:tc>
          <w:tcPr>
            <w:tcW w:type="dxa" w:w="2376"/>
            <w:shd w:fill="FFFFFF"/>
            <w:tcMar>
              <w:top w:w="85" w:type="dxa"/>
              <w:left w:w="85" w:type="dxa"/>
              <w:bottom w:w="85" w:type="dxa"/>
              <w:right w:w="85" w:type="dxa"/>
            </w:tcMar>
          </w:tcPr>
          <w:p>
            <w:pPr>
              <w:spacing w:after="60" w:line="245" w:lineRule="auto"/>
            </w:pPr>
            <w:r>
              <w:rPr>
                <w:sz w:val="18"/>
              </w:rPr>
              <w:t>AIMS-lite policy + audit</w:t>
            </w:r>
          </w:p>
        </w:tc>
        <w:tc>
          <w:tcPr>
            <w:tcW w:type="dxa" w:w="7416"/>
            <w:shd w:fill="FFFFFF"/>
            <w:tcMar>
              <w:top w:w="85" w:type="dxa"/>
              <w:left w:w="85" w:type="dxa"/>
              <w:bottom w:w="85" w:type="dxa"/>
              <w:right w:w="85" w:type="dxa"/>
            </w:tcMar>
          </w:tcPr>
          <w:p>
            <w:pPr>
              <w:spacing w:after="60" w:line="245" w:lineRule="auto"/>
            </w:pPr>
            <w:r>
              <w:rPr>
                <w:sz w:val="18"/>
              </w:rPr>
              <w:t>Enforces allow-listed operations and explicit action gates before execution; records correlation, decisions and usage without raw personal content.</w:t>
            </w:r>
          </w:p>
        </w:tc>
      </w:tr>
      <w:tr>
        <w:trPr>
          <w:cantSplit/>
        </w:trPr>
        <w:tc>
          <w:tcPr>
            <w:tcW w:type="dxa" w:w="2376"/>
            <w:shd w:fill="EFF5F4"/>
            <w:tcMar>
              <w:top w:w="85" w:type="dxa"/>
              <w:left w:w="85" w:type="dxa"/>
              <w:bottom w:w="85" w:type="dxa"/>
              <w:right w:w="85" w:type="dxa"/>
            </w:tcMar>
          </w:tcPr>
          <w:p>
            <w:pPr>
              <w:spacing w:after="60" w:line="245" w:lineRule="auto"/>
            </w:pPr>
            <w:r>
              <w:rPr>
                <w:sz w:val="18"/>
              </w:rPr>
              <w:t>Runtime gateway / SupportRuntime</w:t>
            </w:r>
          </w:p>
        </w:tc>
        <w:tc>
          <w:tcPr>
            <w:tcW w:type="dxa" w:w="7416"/>
            <w:shd w:fill="EFF5F4"/>
            <w:tcMar>
              <w:top w:w="85" w:type="dxa"/>
              <w:left w:w="85" w:type="dxa"/>
              <w:bottom w:w="85" w:type="dxa"/>
              <w:right w:w="85" w:type="dxa"/>
            </w:tcMar>
          </w:tcPr>
          <w:p>
            <w:pPr>
              <w:spacing w:after="60" w:line="245" w:lineRule="auto"/>
            </w:pPr>
            <w:r>
              <w:rPr>
                <w:sz w:val="18"/>
              </w:rPr>
              <w:t>Versioned start, status, stream, cancel, gate and supported resume operations. Normalises errors/events and validates artefact/proposal outputs.</w:t>
            </w:r>
          </w:p>
        </w:tc>
      </w:tr>
      <w:tr>
        <w:trPr>
          <w:cantSplit/>
        </w:trPr>
        <w:tc>
          <w:tcPr>
            <w:tcW w:type="dxa" w:w="2376"/>
            <w:shd w:fill="FFFFFF"/>
            <w:tcMar>
              <w:top w:w="85" w:type="dxa"/>
              <w:left w:w="85" w:type="dxa"/>
              <w:bottom w:w="85" w:type="dxa"/>
              <w:right w:w="85" w:type="dxa"/>
            </w:tcMar>
          </w:tcPr>
          <w:p>
            <w:pPr>
              <w:spacing w:after="60" w:line="245" w:lineRule="auto"/>
            </w:pPr>
            <w:r>
              <w:rPr>
                <w:sz w:val="18"/>
              </w:rPr>
              <w:t>Adapters</w:t>
            </w:r>
          </w:p>
        </w:tc>
        <w:tc>
          <w:tcPr>
            <w:tcW w:type="dxa" w:w="7416"/>
            <w:shd w:fill="FFFFFF"/>
            <w:tcMar>
              <w:top w:w="85" w:type="dxa"/>
              <w:left w:w="85" w:type="dxa"/>
              <w:bottom w:w="85" w:type="dxa"/>
              <w:right w:w="85" w:type="dxa"/>
            </w:tcMar>
          </w:tcPr>
          <w:p>
            <w:pPr>
              <w:spacing w:after="60" w:line="245" w:lineRule="auto"/>
            </w:pPr>
            <w:r>
              <w:rPr>
                <w:sz w:val="18"/>
              </w:rPr>
              <w:t>Mock for deterministic development; direct provider for real support/comparison; pinned FlowState for the baseline specialist Work workflow.</w:t>
            </w:r>
          </w:p>
        </w:tc>
      </w:tr>
      <w:tr>
        <w:trPr>
          <w:cantSplit/>
        </w:trPr>
        <w:tc>
          <w:tcPr>
            <w:tcW w:type="dxa" w:w="2376"/>
            <w:shd w:fill="EFF5F4"/>
            <w:tcMar>
              <w:top w:w="85" w:type="dxa"/>
              <w:left w:w="85" w:type="dxa"/>
              <w:bottom w:w="85" w:type="dxa"/>
              <w:right w:w="85" w:type="dxa"/>
            </w:tcMar>
          </w:tcPr>
          <w:p>
            <w:pPr>
              <w:spacing w:after="60" w:line="245" w:lineRule="auto"/>
            </w:pPr>
            <w:r>
              <w:rPr>
                <w:sz w:val="18"/>
              </w:rPr>
              <w:t>Canonical stores</w:t>
            </w:r>
          </w:p>
        </w:tc>
        <w:tc>
          <w:tcPr>
            <w:tcW w:type="dxa" w:w="7416"/>
            <w:shd w:fill="EFF5F4"/>
            <w:tcMar>
              <w:top w:w="85" w:type="dxa"/>
              <w:left w:w="85" w:type="dxa"/>
              <w:bottom w:w="85" w:type="dxa"/>
              <w:right w:w="85" w:type="dxa"/>
            </w:tcMar>
          </w:tcPr>
          <w:p>
            <w:pPr>
              <w:spacing w:after="60" w:line="245" w:lineRule="auto"/>
            </w:pPr>
            <w:r>
              <w:rPr>
                <w:sz w:val="18"/>
              </w:rPr>
              <w:t>Product and NPR records remain owned by akilii. Runtime session memory is transient/derived and never the authoritative personal context store.</w:t>
            </w:r>
          </w:p>
        </w:tc>
      </w:tr>
    </w:tbl>
    <w:p/>
    <w:p>
      <w:pPr>
        <w:pStyle w:val="Heading2"/>
      </w:pPr>
      <w:r>
        <w:t>Runtime protocol</w:t>
      </w:r>
    </w:p>
    <w:p>
      <w:r>
        <w:t>Every run carries contract version, correlation ID, idempotency key, server-derived subject, conversation/task refs, context projection ID and policy version. Persist ordered event IDs/sequences. Map started, status, delta, artefact proposed, gate requested/resolved and terminal completed/failed/cancelled events. A terminal run cannot be reopened by a late event. Retry creates a linked attempt without duplicating the authorised write. [S4]</w:t>
      </w:r>
    </w:p>
    <w:p>
      <w:r>
        <w:t>Adapters declare capabilities. Unsupported resume or tools produce a typed response and an honest UI path, never a fake success. Switch adapters through server configuration; execute common contract fixtures against each. Never replay a partial run automatically onto a different provider or transfer data to a new provider without the approved routing policy.</w:t>
      </w:r>
    </w:p>
    <w:p>
      <w:pPr>
        <w:pStyle w:val="Heading2"/>
      </w:pPr>
      <w:r>
        <w:t>Proposed implementation choices to lock by G02</w:t>
      </w:r>
    </w:p>
    <w:p>
      <w:r>
        <w:t>Use streamed server events plus persisted status/event retrieval for reconnect. Keep one deployable product service where practical. Use background execution only where request lifetime requires it. Validate schemas at every trust boundary; keep canonical mutations in product services, even when the runtime proposes them.</w:t>
      </w:r>
    </w:p>
    <w:p>
      <w:r>
        <w:br w:type="page"/>
      </w:r>
    </w:p>
    <w:p>
      <w:pPr>
        <w:pStyle w:val="Subtitle"/>
      </w:pPr>
      <w:r>
        <w:t>6 • DATA AND STATE</w:t>
      </w:r>
    </w:p>
    <w:p>
      <w:pPr>
        <w:pStyle w:val="Heading1"/>
      </w:pPr>
      <w:r>
        <w:t>Persist only what the loop needs</w:t>
      </w:r>
    </w:p>
    <w:tbl>
      <w:tblPr>
        <w:tblW w:type="auto" w:w="0"/>
        <w:tblLayout w:type="fixed"/>
        <w:tblLook w:firstColumn="1" w:firstRow="1" w:lastColumn="0" w:lastRow="0" w:noHBand="0" w:noVBand="1" w:val="04A0"/>
      </w:tblPr>
      <w:tblGrid>
        <w:gridCol w:w="2016"/>
        <w:gridCol w:w="6624"/>
        <w:gridCol w:w="1152"/>
      </w:tblGrid>
      <w:tr>
        <w:trPr>
          <w:cantSplit/>
          <w:tblHeader/>
        </w:trPr>
        <w:tc>
          <w:tcPr>
            <w:tcW w:type="dxa" w:w="3278"/>
            <w:shd w:fill="163C43"/>
            <w:tcMar>
              <w:top w:w="85" w:type="dxa"/>
              <w:left w:w="85" w:type="dxa"/>
              <w:bottom w:w="85" w:type="dxa"/>
              <w:right w:w="85" w:type="dxa"/>
            </w:tcMar>
          </w:tcPr>
          <w:p>
            <w:pPr>
              <w:spacing w:after="60" w:line="245" w:lineRule="auto"/>
            </w:pPr>
            <w:r>
              <w:rPr>
                <w:b/>
                <w:color w:val="FFFFFF"/>
                <w:sz w:val="18"/>
              </w:rPr>
              <w:t>Domain</w:t>
            </w:r>
          </w:p>
        </w:tc>
        <w:tc>
          <w:tcPr>
            <w:tcW w:type="dxa" w:w="3278"/>
            <w:shd w:fill="163C43"/>
            <w:tcMar>
              <w:top w:w="85" w:type="dxa"/>
              <w:left w:w="85" w:type="dxa"/>
              <w:bottom w:w="85" w:type="dxa"/>
              <w:right w:w="85" w:type="dxa"/>
            </w:tcMar>
          </w:tcPr>
          <w:p>
            <w:pPr>
              <w:spacing w:after="60" w:line="245" w:lineRule="auto"/>
            </w:pPr>
            <w:r>
              <w:rPr>
                <w:b/>
                <w:color w:val="FFFFFF"/>
                <w:sz w:val="18"/>
              </w:rPr>
              <w:t>Minimum state and owner</w:t>
            </w:r>
          </w:p>
        </w:tc>
        <w:tc>
          <w:tcPr>
            <w:tcW w:type="dxa" w:w="3278"/>
            <w:shd w:fill="163C43"/>
            <w:tcMar>
              <w:top w:w="85" w:type="dxa"/>
              <w:left w:w="85" w:type="dxa"/>
              <w:bottom w:w="85" w:type="dxa"/>
              <w:right w:w="85" w:type="dxa"/>
            </w:tcMar>
          </w:tcPr>
          <w:p>
            <w:pPr>
              <w:spacing w:after="60" w:line="245" w:lineRule="auto"/>
            </w:pPr>
            <w:r>
              <w:rPr>
                <w:b/>
                <w:color w:val="FFFFFF"/>
                <w:sz w:val="18"/>
              </w:rPr>
              <w:t>Introduced</w:t>
            </w:r>
          </w:p>
        </w:tc>
      </w:tr>
      <w:tr>
        <w:trPr>
          <w:cantSplit/>
        </w:trPr>
        <w:tc>
          <w:tcPr>
            <w:tcW w:type="dxa" w:w="2016"/>
            <w:shd w:fill="EFF5F4"/>
            <w:tcMar>
              <w:top w:w="85" w:type="dxa"/>
              <w:left w:w="85" w:type="dxa"/>
              <w:bottom w:w="85" w:type="dxa"/>
              <w:right w:w="85" w:type="dxa"/>
            </w:tcMar>
          </w:tcPr>
          <w:p>
            <w:pPr>
              <w:spacing w:after="60" w:line="245" w:lineRule="auto"/>
            </w:pPr>
            <w:r>
              <w:rPr>
                <w:sz w:val="18"/>
              </w:rPr>
              <w:t>Account / consent</w:t>
            </w:r>
          </w:p>
        </w:tc>
        <w:tc>
          <w:tcPr>
            <w:tcW w:type="dxa" w:w="6624"/>
            <w:shd w:fill="EFF5F4"/>
            <w:tcMar>
              <w:top w:w="85" w:type="dxa"/>
              <w:left w:w="85" w:type="dxa"/>
              <w:bottom w:w="85" w:type="dxa"/>
              <w:right w:w="85" w:type="dxa"/>
            </w:tcMar>
          </w:tcPr>
          <w:p>
            <w:pPr>
              <w:spacing w:after="60" w:line="245" w:lineRule="auto"/>
            </w:pPr>
            <w:r>
              <w:rPr>
                <w:sz w:val="18"/>
              </w:rPr>
              <w:t>User ID, invite/access state, session, notice version and controls; identity service and product API</w:t>
            </w:r>
          </w:p>
        </w:tc>
        <w:tc>
          <w:tcPr>
            <w:tcW w:type="dxa" w:w="1152"/>
            <w:shd w:fill="EFF5F4"/>
            <w:tcMar>
              <w:top w:w="85" w:type="dxa"/>
              <w:left w:w="85" w:type="dxa"/>
              <w:bottom w:w="85" w:type="dxa"/>
              <w:right w:w="85" w:type="dxa"/>
            </w:tcMar>
          </w:tcPr>
          <w:p>
            <w:pPr>
              <w:spacing w:after="60" w:line="245" w:lineRule="auto"/>
            </w:pPr>
            <w:r>
              <w:rPr>
                <w:sz w:val="18"/>
              </w:rPr>
              <w:t>V0.03</w:t>
            </w:r>
          </w:p>
        </w:tc>
      </w:tr>
      <w:tr>
        <w:trPr>
          <w:cantSplit/>
        </w:trPr>
        <w:tc>
          <w:tcPr>
            <w:tcW w:type="dxa" w:w="2016"/>
            <w:shd w:fill="FFFFFF"/>
            <w:tcMar>
              <w:top w:w="85" w:type="dxa"/>
              <w:left w:w="85" w:type="dxa"/>
              <w:bottom w:w="85" w:type="dxa"/>
              <w:right w:w="85" w:type="dxa"/>
            </w:tcMar>
          </w:tcPr>
          <w:p>
            <w:pPr>
              <w:spacing w:after="60" w:line="245" w:lineRule="auto"/>
            </w:pPr>
            <w:r>
              <w:rPr>
                <w:sz w:val="18"/>
              </w:rPr>
              <w:t>Conversation / message</w:t>
            </w:r>
          </w:p>
        </w:tc>
        <w:tc>
          <w:tcPr>
            <w:tcW w:type="dxa" w:w="6624"/>
            <w:shd w:fill="FFFFFF"/>
            <w:tcMar>
              <w:top w:w="85" w:type="dxa"/>
              <w:left w:w="85" w:type="dxa"/>
              <w:bottom w:w="85" w:type="dxa"/>
              <w:right w:w="85" w:type="dxa"/>
            </w:tcMar>
          </w:tcPr>
          <w:p>
            <w:pPr>
              <w:spacing w:after="60" w:line="245" w:lineRule="auto"/>
            </w:pPr>
            <w:r>
              <w:rPr>
                <w:sz w:val="18"/>
              </w:rPr>
              <w:t>Owner, content, timestamps, delivery/run status, draft recovery policy; product store</w:t>
            </w:r>
          </w:p>
        </w:tc>
        <w:tc>
          <w:tcPr>
            <w:tcW w:type="dxa" w:w="1152"/>
            <w:shd w:fill="FFFFFF"/>
            <w:tcMar>
              <w:top w:w="85" w:type="dxa"/>
              <w:left w:w="85" w:type="dxa"/>
              <w:bottom w:w="85" w:type="dxa"/>
              <w:right w:w="85" w:type="dxa"/>
            </w:tcMar>
          </w:tcPr>
          <w:p>
            <w:pPr>
              <w:spacing w:after="60" w:line="245" w:lineRule="auto"/>
            </w:pPr>
            <w:r>
              <w:rPr>
                <w:sz w:val="18"/>
              </w:rPr>
              <w:t>V0.03</w:t>
            </w:r>
          </w:p>
        </w:tc>
      </w:tr>
      <w:tr>
        <w:trPr>
          <w:cantSplit/>
        </w:trPr>
        <w:tc>
          <w:tcPr>
            <w:tcW w:type="dxa" w:w="2016"/>
            <w:shd w:fill="EFF5F4"/>
            <w:tcMar>
              <w:top w:w="85" w:type="dxa"/>
              <w:left w:w="85" w:type="dxa"/>
              <w:bottom w:w="85" w:type="dxa"/>
              <w:right w:w="85" w:type="dxa"/>
            </w:tcMar>
          </w:tcPr>
          <w:p>
            <w:pPr>
              <w:spacing w:after="60" w:line="245" w:lineRule="auto"/>
            </w:pPr>
            <w:r>
              <w:rPr>
                <w:sz w:val="18"/>
              </w:rPr>
              <w:t>NPR item / evidence</w:t>
            </w:r>
          </w:p>
        </w:tc>
        <w:tc>
          <w:tcPr>
            <w:tcW w:type="dxa" w:w="6624"/>
            <w:shd w:fill="EFF5F4"/>
            <w:tcMar>
              <w:top w:w="85" w:type="dxa"/>
              <w:left w:w="85" w:type="dxa"/>
              <w:bottom w:w="85" w:type="dxa"/>
              <w:right w:w="85" w:type="dxa"/>
            </w:tcMar>
          </w:tcPr>
          <w:p>
            <w:pPr>
              <w:spacing w:after="60" w:line="245" w:lineRule="auto"/>
            </w:pPr>
            <w:r>
              <w:rPr>
                <w:sz w:val="18"/>
              </w:rPr>
              <w:t>Type, tier, payload, provenance, confirmation, confidence, sensitivity, lifecycle, controls, timestamps, version and evidence refs; NPR store</w:t>
            </w:r>
          </w:p>
        </w:tc>
        <w:tc>
          <w:tcPr>
            <w:tcW w:type="dxa" w:w="1152"/>
            <w:shd w:fill="EFF5F4"/>
            <w:tcMar>
              <w:top w:w="85" w:type="dxa"/>
              <w:left w:w="85" w:type="dxa"/>
              <w:bottom w:w="85" w:type="dxa"/>
              <w:right w:w="85" w:type="dxa"/>
            </w:tcMar>
          </w:tcPr>
          <w:p>
            <w:pPr>
              <w:spacing w:after="60" w:line="245" w:lineRule="auto"/>
            </w:pPr>
            <w:r>
              <w:rPr>
                <w:sz w:val="18"/>
              </w:rPr>
              <w:t>V0.04</w:t>
            </w:r>
          </w:p>
        </w:tc>
      </w:tr>
      <w:tr>
        <w:trPr>
          <w:cantSplit/>
        </w:trPr>
        <w:tc>
          <w:tcPr>
            <w:tcW w:type="dxa" w:w="2016"/>
            <w:shd w:fill="FFFFFF"/>
            <w:tcMar>
              <w:top w:w="85" w:type="dxa"/>
              <w:left w:w="85" w:type="dxa"/>
              <w:bottom w:w="85" w:type="dxa"/>
              <w:right w:w="85" w:type="dxa"/>
            </w:tcMar>
          </w:tcPr>
          <w:p>
            <w:pPr>
              <w:spacing w:after="60" w:line="245" w:lineRule="auto"/>
            </w:pPr>
            <w:r>
              <w:rPr>
                <w:sz w:val="18"/>
              </w:rPr>
              <w:t>Context projection</w:t>
            </w:r>
          </w:p>
        </w:tc>
        <w:tc>
          <w:tcPr>
            <w:tcW w:type="dxa" w:w="6624"/>
            <w:shd w:fill="FFFFFF"/>
            <w:tcMar>
              <w:top w:w="85" w:type="dxa"/>
              <w:left w:w="85" w:type="dxa"/>
              <w:bottom w:w="85" w:type="dxa"/>
              <w:right w:w="85" w:type="dxa"/>
            </w:tcMar>
          </w:tcPr>
          <w:p>
            <w:pPr>
              <w:spacing w:after="60" w:line="245" w:lineRule="auto"/>
            </w:pPr>
            <w:r>
              <w:rPr>
                <w:sz w:val="18"/>
              </w:rPr>
              <w:t>Purpose, eligible item refs, policy/schema version, generated time; bounded runtime input, not a second profile</w:t>
            </w:r>
          </w:p>
        </w:tc>
        <w:tc>
          <w:tcPr>
            <w:tcW w:type="dxa" w:w="1152"/>
            <w:shd w:fill="FFFFFF"/>
            <w:tcMar>
              <w:top w:w="85" w:type="dxa"/>
              <w:left w:w="85" w:type="dxa"/>
              <w:bottom w:w="85" w:type="dxa"/>
              <w:right w:w="85" w:type="dxa"/>
            </w:tcMar>
          </w:tcPr>
          <w:p>
            <w:pPr>
              <w:spacing w:after="60" w:line="245" w:lineRule="auto"/>
            </w:pPr>
            <w:r>
              <w:rPr>
                <w:sz w:val="18"/>
              </w:rPr>
              <w:t>V0.04</w:t>
            </w:r>
          </w:p>
        </w:tc>
      </w:tr>
      <w:tr>
        <w:trPr>
          <w:cantSplit/>
        </w:trPr>
        <w:tc>
          <w:tcPr>
            <w:tcW w:type="dxa" w:w="2016"/>
            <w:shd w:fill="EFF5F4"/>
            <w:tcMar>
              <w:top w:w="85" w:type="dxa"/>
              <w:left w:w="85" w:type="dxa"/>
              <w:bottom w:w="85" w:type="dxa"/>
              <w:right w:w="85" w:type="dxa"/>
            </w:tcMar>
          </w:tcPr>
          <w:p>
            <w:pPr>
              <w:spacing w:after="60" w:line="245" w:lineRule="auto"/>
            </w:pPr>
            <w:r>
              <w:rPr>
                <w:sz w:val="18"/>
              </w:rPr>
              <w:t>Project / WorkTask / artefact</w:t>
            </w:r>
          </w:p>
        </w:tc>
        <w:tc>
          <w:tcPr>
            <w:tcW w:type="dxa" w:w="6624"/>
            <w:shd w:fill="EFF5F4"/>
            <w:tcMar>
              <w:top w:w="85" w:type="dxa"/>
              <w:left w:w="85" w:type="dxa"/>
              <w:bottom w:w="85" w:type="dxa"/>
              <w:right w:w="85" w:type="dxa"/>
            </w:tcMar>
          </w:tcPr>
          <w:p>
            <w:pPr>
              <w:spacing w:after="60" w:line="245" w:lineRule="auto"/>
            </w:pPr>
            <w:r>
              <w:rPr>
                <w:sz w:val="18"/>
              </w:rPr>
              <w:t>Owner, goal, task status, next action, editable artefact version, intent/gate receipt and source run; product store</w:t>
            </w:r>
          </w:p>
        </w:tc>
        <w:tc>
          <w:tcPr>
            <w:tcW w:type="dxa" w:w="1152"/>
            <w:shd w:fill="EFF5F4"/>
            <w:tcMar>
              <w:top w:w="85" w:type="dxa"/>
              <w:left w:w="85" w:type="dxa"/>
              <w:bottom w:w="85" w:type="dxa"/>
              <w:right w:w="85" w:type="dxa"/>
            </w:tcMar>
          </w:tcPr>
          <w:p>
            <w:pPr>
              <w:spacing w:after="60" w:line="245" w:lineRule="auto"/>
            </w:pPr>
            <w:r>
              <w:rPr>
                <w:sz w:val="18"/>
              </w:rPr>
              <w:t>V0.05</w:t>
            </w:r>
          </w:p>
        </w:tc>
      </w:tr>
      <w:tr>
        <w:trPr>
          <w:cantSplit/>
        </w:trPr>
        <w:tc>
          <w:tcPr>
            <w:tcW w:type="dxa" w:w="2016"/>
            <w:shd w:fill="FFFFFF"/>
            <w:tcMar>
              <w:top w:w="85" w:type="dxa"/>
              <w:left w:w="85" w:type="dxa"/>
              <w:bottom w:w="85" w:type="dxa"/>
              <w:right w:w="85" w:type="dxa"/>
            </w:tcMar>
          </w:tcPr>
          <w:p>
            <w:pPr>
              <w:spacing w:after="60" w:line="245" w:lineRule="auto"/>
            </w:pPr>
            <w:r>
              <w:rPr>
                <w:sz w:val="18"/>
              </w:rPr>
              <w:t>Run / event / gate</w:t>
            </w:r>
          </w:p>
        </w:tc>
        <w:tc>
          <w:tcPr>
            <w:tcW w:type="dxa" w:w="6624"/>
            <w:shd w:fill="FFFFFF"/>
            <w:tcMar>
              <w:top w:w="85" w:type="dxa"/>
              <w:left w:w="85" w:type="dxa"/>
              <w:bottom w:w="85" w:type="dxa"/>
              <w:right w:w="85" w:type="dxa"/>
            </w:tcMar>
          </w:tcPr>
          <w:p>
            <w:pPr>
              <w:spacing w:after="60" w:line="245" w:lineRule="auto"/>
            </w:pPr>
            <w:r>
              <w:rPr>
                <w:sz w:val="18"/>
              </w:rPr>
              <w:t>Adapter/version, external-ID mapping, attempts, ordered events, authorisation scope, status and usage; product runtime ledger</w:t>
            </w:r>
          </w:p>
        </w:tc>
        <w:tc>
          <w:tcPr>
            <w:tcW w:type="dxa" w:w="1152"/>
            <w:shd w:fill="FFFFFF"/>
            <w:tcMar>
              <w:top w:w="85" w:type="dxa"/>
              <w:left w:w="85" w:type="dxa"/>
              <w:bottom w:w="85" w:type="dxa"/>
              <w:right w:w="85" w:type="dxa"/>
            </w:tcMar>
          </w:tcPr>
          <w:p>
            <w:pPr>
              <w:spacing w:after="60" w:line="245" w:lineRule="auto"/>
            </w:pPr>
            <w:r>
              <w:rPr>
                <w:sz w:val="18"/>
              </w:rPr>
              <w:t>V0.02 → V0.06</w:t>
            </w:r>
          </w:p>
        </w:tc>
      </w:tr>
      <w:tr>
        <w:trPr>
          <w:cantSplit/>
        </w:trPr>
        <w:tc>
          <w:tcPr>
            <w:tcW w:type="dxa" w:w="2016"/>
            <w:shd w:fill="EFF5F4"/>
            <w:tcMar>
              <w:top w:w="85" w:type="dxa"/>
              <w:left w:w="85" w:type="dxa"/>
              <w:bottom w:w="85" w:type="dxa"/>
              <w:right w:w="85" w:type="dxa"/>
            </w:tcMar>
          </w:tcPr>
          <w:p>
            <w:pPr>
              <w:spacing w:after="60" w:line="245" w:lineRule="auto"/>
            </w:pPr>
            <w:r>
              <w:rPr>
                <w:sz w:val="18"/>
              </w:rPr>
              <w:t>Intervention / outcome / proposal</w:t>
            </w:r>
          </w:p>
        </w:tc>
        <w:tc>
          <w:tcPr>
            <w:tcW w:type="dxa" w:w="6624"/>
            <w:shd w:fill="EFF5F4"/>
            <w:tcMar>
              <w:top w:w="85" w:type="dxa"/>
              <w:left w:w="85" w:type="dxa"/>
              <w:bottom w:w="85" w:type="dxa"/>
              <w:right w:w="85" w:type="dxa"/>
            </w:tcMar>
          </w:tcPr>
          <w:p>
            <w:pPr>
              <w:spacing w:after="60" w:line="245" w:lineRule="auto"/>
            </w:pPr>
            <w:r>
              <w:rPr>
                <w:sz w:val="18"/>
              </w:rPr>
              <w:t>Support strategy, outcome, optional comment, evidence-linked proposed change and confirm/reject decision; product + NPR stores</w:t>
            </w:r>
          </w:p>
        </w:tc>
        <w:tc>
          <w:tcPr>
            <w:tcW w:type="dxa" w:w="1152"/>
            <w:shd w:fill="EFF5F4"/>
            <w:tcMar>
              <w:top w:w="85" w:type="dxa"/>
              <w:left w:w="85" w:type="dxa"/>
              <w:bottom w:w="85" w:type="dxa"/>
              <w:right w:w="85" w:type="dxa"/>
            </w:tcMar>
          </w:tcPr>
          <w:p>
            <w:pPr>
              <w:spacing w:after="60" w:line="245" w:lineRule="auto"/>
            </w:pPr>
            <w:r>
              <w:rPr>
                <w:sz w:val="18"/>
              </w:rPr>
              <w:t>V0.07</w:t>
            </w:r>
          </w:p>
        </w:tc>
      </w:tr>
      <w:tr>
        <w:trPr>
          <w:cantSplit/>
        </w:trPr>
        <w:tc>
          <w:tcPr>
            <w:tcW w:type="dxa" w:w="2016"/>
            <w:shd w:fill="FFFFFF"/>
            <w:tcMar>
              <w:top w:w="85" w:type="dxa"/>
              <w:left w:w="85" w:type="dxa"/>
              <w:bottom w:w="85" w:type="dxa"/>
              <w:right w:w="85" w:type="dxa"/>
            </w:tcMar>
          </w:tcPr>
          <w:p>
            <w:pPr>
              <w:spacing w:after="60" w:line="245" w:lineRule="auto"/>
            </w:pPr>
            <w:r>
              <w:rPr>
                <w:sz w:val="18"/>
              </w:rPr>
              <w:t>Audit / export / deletion job</w:t>
            </w:r>
          </w:p>
        </w:tc>
        <w:tc>
          <w:tcPr>
            <w:tcW w:type="dxa" w:w="6624"/>
            <w:shd w:fill="FFFFFF"/>
            <w:tcMar>
              <w:top w:w="85" w:type="dxa"/>
              <w:left w:w="85" w:type="dxa"/>
              <w:bottom w:w="85" w:type="dxa"/>
              <w:right w:w="85" w:type="dxa"/>
            </w:tcMar>
          </w:tcPr>
          <w:p>
            <w:pPr>
              <w:spacing w:after="60" w:line="245" w:lineRule="auto"/>
            </w:pPr>
            <w:r>
              <w:rPr>
                <w:sz w:val="18"/>
              </w:rPr>
              <w:t>Content-minimised event records, job progress, destination/purge receipts and completion; controlled service storage</w:t>
            </w:r>
          </w:p>
        </w:tc>
        <w:tc>
          <w:tcPr>
            <w:tcW w:type="dxa" w:w="1152"/>
            <w:shd w:fill="FFFFFF"/>
            <w:tcMar>
              <w:top w:w="85" w:type="dxa"/>
              <w:left w:w="85" w:type="dxa"/>
              <w:bottom w:w="85" w:type="dxa"/>
              <w:right w:w="85" w:type="dxa"/>
            </w:tcMar>
          </w:tcPr>
          <w:p>
            <w:pPr>
              <w:spacing w:after="60" w:line="245" w:lineRule="auto"/>
            </w:pPr>
            <w:r>
              <w:rPr>
                <w:sz w:val="18"/>
              </w:rPr>
              <w:t>V0.03 → V0.08</w:t>
            </w:r>
          </w:p>
        </w:tc>
      </w:tr>
    </w:tbl>
    <w:p/>
    <w:p>
      <w:pPr>
        <w:pStyle w:val="Heading2"/>
      </w:pPr>
      <w:r>
        <w:t>Lifecycle invariants</w:t>
      </w:r>
    </w:p>
    <w:p>
      <w:r>
        <w:t>NPR means user-governed personal context. Stable, semi-stable and dynamic describe expected duration, not truth. User statements and model observations remain distinguishable. A runtime can propose learning but cannot commit it. Material inferred changes require user confirmation; rejected proposals are ineligible. Current explicit instructions override a stored preference for that turn without silently rewriting it. Correction affects the next eligible projection. [S2–S4]</w:t>
      </w:r>
    </w:p>
    <w:p>
      <w:r>
        <w:t>Use structured filtering before ranking; defer vector search. Apply owner isolation to all rows and storage objects. Use optimistic versions for edits and idempotency for run/action/feedback submissions. Migrations and isolation policies must rebuild from source; no browser localStorage as canonical NPR or approved-memory storage.</w:t>
      </w:r>
    </w:p>
    <w:p>
      <w:pPr>
        <w:pStyle w:val="Heading2"/>
      </w:pPr>
      <w:r>
        <w:t>Retention proposal to adopt before real-user use</w:t>
      </w:r>
    </w:p>
    <w:p>
      <w:r>
        <w:t>Default to no raw prompt/response content in operational logs; retain content-free operational events for 30 days. Keep approved product/context records until user deletion or beta closure, with a review at beta end. Make deleted/restricted context unavailable to new runs immediately; target primary/derived purge within 24 hours, backup expiry within 30 days. George verifies actual provider/backup capabilities and André aligns notices before G08; unsupported promises block release or require a truthful narrower policy.</w:t>
      </w:r>
    </w:p>
    <w:p>
      <w:r>
        <w:br w:type="page"/>
      </w:r>
    </w:p>
    <w:p>
      <w:pPr>
        <w:pStyle w:val="Subtitle"/>
      </w:pPr>
      <w:r>
        <w:t>7 • INCREMENT CONTRACT</w:t>
      </w:r>
    </w:p>
    <w:p>
      <w:pPr>
        <w:pStyle w:val="Heading1"/>
      </w:pPr>
      <w:r>
        <w:t>V0.01 | Canonical shell and local proof</w:t>
      </w:r>
    </w:p>
    <w:p>
      <w:r>
        <w:t>07–09 September • G01 on 09 September</w:t>
      </w:r>
    </w:p>
    <w:p>
      <w:pPr>
        <w:pStyle w:val="Heading2"/>
      </w:pPr>
      <w:r>
        <w:t>Proof objective</w:t>
      </w:r>
    </w:p>
    <w:p>
      <w:r>
        <w:t>Prove George can build the right product reference on his own machine.</w:t>
      </w:r>
    </w:p>
    <w:tbl>
      <w:tblPr>
        <w:tblW w:type="auto" w:w="0"/>
        <w:tblLayout w:type="fixed"/>
        <w:tblLook w:firstColumn="1" w:firstRow="1" w:lastColumn="0" w:lastRow="0" w:noHBand="0" w:noVBand="1" w:val="04A0"/>
      </w:tblPr>
      <w:tblGrid>
        <w:gridCol w:w="2160"/>
        <w:gridCol w:w="7632"/>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Contract dimension</w:t>
            </w:r>
          </w:p>
        </w:tc>
        <w:tc>
          <w:tcPr>
            <w:tcW w:type="dxa" w:w="4917"/>
            <w:shd w:fill="163C43"/>
            <w:tcMar>
              <w:top w:w="85" w:type="dxa"/>
              <w:left w:w="85" w:type="dxa"/>
              <w:bottom w:w="85" w:type="dxa"/>
              <w:right w:w="85" w:type="dxa"/>
            </w:tcMar>
          </w:tcPr>
          <w:p>
            <w:pPr>
              <w:spacing w:after="60" w:line="245" w:lineRule="auto"/>
            </w:pPr>
            <w:r>
              <w:rPr>
                <w:b/>
                <w:color w:val="FFFFFF"/>
                <w:sz w:val="18"/>
              </w:rPr>
              <w:t>Cumulative requirement</w:t>
            </w:r>
          </w:p>
        </w:tc>
      </w:tr>
      <w:tr>
        <w:trPr>
          <w:cantSplit/>
        </w:trPr>
        <w:tc>
          <w:tcPr>
            <w:tcW w:type="dxa" w:w="2160"/>
            <w:shd w:fill="EFF5F4"/>
            <w:tcMar>
              <w:top w:w="85" w:type="dxa"/>
              <w:left w:w="85" w:type="dxa"/>
              <w:bottom w:w="85" w:type="dxa"/>
              <w:right w:w="85" w:type="dxa"/>
            </w:tcMar>
          </w:tcPr>
          <w:p>
            <w:pPr>
              <w:spacing w:after="60" w:line="245" w:lineRule="auto"/>
            </w:pPr>
            <w:r>
              <w:rPr>
                <w:sz w:val="18"/>
              </w:rPr>
              <w:t>Product / UX</w:t>
            </w:r>
          </w:p>
        </w:tc>
        <w:tc>
          <w:tcPr>
            <w:tcW w:type="dxa" w:w="7632"/>
            <w:shd w:fill="EFF5F4"/>
            <w:tcMar>
              <w:top w:w="85" w:type="dxa"/>
              <w:left w:w="85" w:type="dxa"/>
              <w:bottom w:w="85" w:type="dxa"/>
              <w:right w:w="85" w:type="dxa"/>
            </w:tcMar>
          </w:tcPr>
          <w:p>
            <w:pPr>
              <w:spacing w:after="60" w:line="245" w:lineRule="auto"/>
            </w:pPr>
            <w:r>
              <w:rPr>
                <w:sz w:val="18"/>
              </w:rPr>
              <w:t>Home, Chat and Work shell; navigation, canonical brand/tokens, composer and a static proposal-panel contract. Desktop and mobile skeleton; placeholders clearly labelled.</w:t>
            </w:r>
          </w:p>
        </w:tc>
      </w:tr>
      <w:tr>
        <w:trPr>
          <w:cantSplit/>
        </w:trPr>
        <w:tc>
          <w:tcPr>
            <w:tcW w:type="dxa" w:w="2160"/>
            <w:shd w:fill="FFFFFF"/>
            <w:tcMar>
              <w:top w:w="85" w:type="dxa"/>
              <w:left w:w="85" w:type="dxa"/>
              <w:bottom w:w="85" w:type="dxa"/>
              <w:right w:w="85" w:type="dxa"/>
            </w:tcMar>
          </w:tcPr>
          <w:p>
            <w:pPr>
              <w:spacing w:after="60" w:line="245" w:lineRule="auto"/>
            </w:pPr>
            <w:r>
              <w:rPr>
                <w:sz w:val="18"/>
              </w:rPr>
              <w:t>Technical / runtime</w:t>
            </w:r>
          </w:p>
        </w:tc>
        <w:tc>
          <w:tcPr>
            <w:tcW w:type="dxa" w:w="7632"/>
            <w:shd w:fill="FFFFFF"/>
            <w:tcMar>
              <w:top w:w="85" w:type="dxa"/>
              <w:left w:w="85" w:type="dxa"/>
              <w:bottom w:w="85" w:type="dxa"/>
              <w:right w:w="85" w:type="dxa"/>
            </w:tcMar>
          </w:tcPr>
          <w:p>
            <w:pPr>
              <w:spacing w:after="60" w:line="245" w:lineRule="auto"/>
            </w:pPr>
            <w:r>
              <w:rPr>
                <w:sz w:val="18"/>
              </w:rPr>
              <w:t>One app root, pinned dependencies and documented start command. Introduce product-owned runtime seam and deterministic mock; no live provider dependency.</w:t>
            </w:r>
          </w:p>
        </w:tc>
      </w:tr>
      <w:tr>
        <w:trPr>
          <w:cantSplit/>
        </w:trPr>
        <w:tc>
          <w:tcPr>
            <w:tcW w:type="dxa" w:w="2160"/>
            <w:shd w:fill="EFF5F4"/>
            <w:tcMar>
              <w:top w:w="85" w:type="dxa"/>
              <w:left w:w="85" w:type="dxa"/>
              <w:bottom w:w="85" w:type="dxa"/>
              <w:right w:w="85" w:type="dxa"/>
            </w:tcMar>
          </w:tcPr>
          <w:p>
            <w:pPr>
              <w:spacing w:after="60" w:line="245" w:lineRule="auto"/>
            </w:pPr>
            <w:r>
              <w:rPr>
                <w:sz w:val="18"/>
              </w:rPr>
              <w:t>Data / state</w:t>
            </w:r>
          </w:p>
        </w:tc>
        <w:tc>
          <w:tcPr>
            <w:tcW w:type="dxa" w:w="7632"/>
            <w:shd w:fill="EFF5F4"/>
            <w:tcMar>
              <w:top w:w="85" w:type="dxa"/>
              <w:left w:w="85" w:type="dxa"/>
              <w:bottom w:w="85" w:type="dxa"/>
              <w:right w:w="85" w:type="dxa"/>
            </w:tcMar>
          </w:tcPr>
          <w:p>
            <w:pPr>
              <w:spacing w:after="60" w:line="245" w:lineRule="auto"/>
            </w:pPr>
            <w:r>
              <w:rPr>
                <w:sz w:val="18"/>
              </w:rPr>
              <w:t>Synthetic in-memory navigation, composer and fixture state only. No real personal data or persistence claims.</w:t>
            </w:r>
          </w:p>
        </w:tc>
      </w:tr>
      <w:tr>
        <w:trPr>
          <w:cantSplit/>
        </w:trPr>
        <w:tc>
          <w:tcPr>
            <w:tcW w:type="dxa" w:w="2160"/>
            <w:shd w:fill="FFFFFF"/>
            <w:tcMar>
              <w:top w:w="85" w:type="dxa"/>
              <w:left w:w="85" w:type="dxa"/>
              <w:bottom w:w="85" w:type="dxa"/>
              <w:right w:w="85" w:type="dxa"/>
            </w:tcMar>
          </w:tcPr>
          <w:p>
            <w:pPr>
              <w:spacing w:after="60" w:line="245" w:lineRule="auto"/>
            </w:pPr>
            <w:r>
              <w:rPr>
                <w:sz w:val="18"/>
              </w:rPr>
              <w:t>Testing / acceptance</w:t>
            </w:r>
          </w:p>
        </w:tc>
        <w:tc>
          <w:tcPr>
            <w:tcW w:type="dxa" w:w="7632"/>
            <w:shd w:fill="FFFFFF"/>
            <w:tcMar>
              <w:top w:w="85" w:type="dxa"/>
              <w:left w:w="85" w:type="dxa"/>
              <w:bottom w:w="85" w:type="dxa"/>
              <w:right w:w="85" w:type="dxa"/>
            </w:tcMar>
          </w:tcPr>
          <w:p>
            <w:pPr>
              <w:spacing w:after="60" w:line="245" w:lineRule="auto"/>
            </w:pPr>
            <w:r>
              <w:rPr>
                <w:sz w:val="18"/>
              </w:rPr>
              <w:t>Fresh clone installs and starts using README alone; George reproduces it locally. All three routes render at 390px and 1440px with working keyboard navigation and no blocking console errors.</w:t>
            </w:r>
          </w:p>
        </w:tc>
      </w:tr>
      <w:tr>
        <w:trPr>
          <w:cantSplit/>
        </w:trPr>
        <w:tc>
          <w:tcPr>
            <w:tcW w:type="dxa" w:w="2160"/>
            <w:shd w:fill="EFF5F4"/>
            <w:tcMar>
              <w:top w:w="85" w:type="dxa"/>
              <w:left w:w="85" w:type="dxa"/>
              <w:bottom w:w="85" w:type="dxa"/>
              <w:right w:w="85" w:type="dxa"/>
            </w:tcMar>
          </w:tcPr>
          <w:p>
            <w:pPr>
              <w:spacing w:after="60" w:line="245" w:lineRule="auto"/>
            </w:pPr>
            <w:r>
              <w:rPr>
                <w:sz w:val="18"/>
              </w:rPr>
              <w:t>Owners / dependencies</w:t>
            </w:r>
          </w:p>
        </w:tc>
        <w:tc>
          <w:tcPr>
            <w:tcW w:type="dxa" w:w="7632"/>
            <w:shd w:fill="EFF5F4"/>
            <w:tcMar>
              <w:top w:w="85" w:type="dxa"/>
              <w:left w:w="85" w:type="dxa"/>
              <w:bottom w:w="85" w:type="dxa"/>
              <w:right w:w="85" w:type="dxa"/>
            </w:tcMar>
          </w:tcPr>
          <w:p>
            <w:pPr>
              <w:spacing w:after="60" w:line="245" w:lineRule="auto"/>
            </w:pPr>
            <w:r>
              <w:rPr>
                <w:sz w:val="18"/>
              </w:rPr>
              <w:t>André: exact canonical nodes, shell scope and assets. George: repo, shell and local setup. Depends on access, source manifest and selected baseline commit.</w:t>
            </w:r>
          </w:p>
        </w:tc>
      </w:tr>
      <w:tr>
        <w:trPr>
          <w:cantSplit/>
        </w:trPr>
        <w:tc>
          <w:tcPr>
            <w:tcW w:type="dxa" w:w="2160"/>
            <w:shd w:fill="FFFFFF"/>
            <w:tcMar>
              <w:top w:w="85" w:type="dxa"/>
              <w:left w:w="85" w:type="dxa"/>
              <w:bottom w:w="85" w:type="dxa"/>
              <w:right w:w="85" w:type="dxa"/>
            </w:tcMar>
          </w:tcPr>
          <w:p>
            <w:pPr>
              <w:spacing w:after="60" w:line="245" w:lineRule="auto"/>
            </w:pPr>
            <w:r>
              <w:rPr>
                <w:sz w:val="18"/>
              </w:rPr>
              <w:t>Process / done / gate</w:t>
            </w:r>
          </w:p>
        </w:tc>
        <w:tc>
          <w:tcPr>
            <w:tcW w:type="dxa" w:w="7632"/>
            <w:shd w:fill="FFFFFF"/>
            <w:tcMar>
              <w:top w:w="85" w:type="dxa"/>
              <w:left w:w="85" w:type="dxa"/>
              <w:bottom w:w="85" w:type="dxa"/>
              <w:right w:w="85" w:type="dxa"/>
            </w:tcMar>
          </w:tcPr>
          <w:p>
            <w:pPr>
              <w:spacing w:after="60" w:line="245" w:lineRule="auto"/>
            </w:pPr>
            <w:r>
              <w:rPr>
                <w:sz w:val="18"/>
              </w:rPr>
              <w:t>Adopt CANON and V0.01 contract; attach clean-clone evidence and visual comparison. Both accept common DoD, then tag v0.01. Unlock V0.02 only after PASS.</w:t>
            </w:r>
          </w:p>
        </w:tc>
      </w:tr>
      <w:tr>
        <w:trPr>
          <w:cantSplit/>
        </w:trPr>
        <w:tc>
          <w:tcPr>
            <w:tcW w:type="dxa" w:w="2160"/>
            <w:shd w:fill="EFF5F4"/>
            <w:tcMar>
              <w:top w:w="85" w:type="dxa"/>
              <w:left w:w="85" w:type="dxa"/>
              <w:bottom w:w="85" w:type="dxa"/>
              <w:right w:w="85" w:type="dxa"/>
            </w:tcMar>
          </w:tcPr>
          <w:p>
            <w:pPr>
              <w:spacing w:after="60" w:line="245" w:lineRule="auto"/>
            </w:pPr>
            <w:r>
              <w:rPr>
                <w:sz w:val="18"/>
              </w:rPr>
              <w:t>Explicitly out of scope</w:t>
            </w:r>
          </w:p>
        </w:tc>
        <w:tc>
          <w:tcPr>
            <w:tcW w:type="dxa" w:w="7632"/>
            <w:shd w:fill="EFF5F4"/>
            <w:tcMar>
              <w:top w:w="85" w:type="dxa"/>
              <w:left w:w="85" w:type="dxa"/>
              <w:bottom w:w="85" w:type="dxa"/>
              <w:right w:w="85" w:type="dxa"/>
            </w:tcMar>
          </w:tcPr>
          <w:p>
            <w:pPr>
              <w:spacing w:after="60" w:line="245" w:lineRule="auto"/>
            </w:pPr>
            <w:r>
              <w:rPr>
                <w:sz w:val="18"/>
              </w:rPr>
              <w:t>Authentication, durable NPR, real AI, external tools, complete Page 7 canvas, production infrastructure and visual polish beyond the canonical shell.</w:t>
            </w:r>
          </w:p>
        </w:tc>
      </w:tr>
    </w:tbl>
    <w:p/>
    <w:p>
      <w:r>
        <w:t>Release rule: all prior accepted behaviour remains in force. Any scope variation requires a recorded decision and updated tests before gate approval. The common definition of done in section 3 applies in full.</w:t>
      </w:r>
    </w:p>
    <w:p>
      <w:r>
        <w:br w:type="page"/>
      </w:r>
    </w:p>
    <w:p>
      <w:pPr>
        <w:pStyle w:val="Subtitle"/>
      </w:pPr>
      <w:r>
        <w:t>8 • INCREMENT CONTRACT</w:t>
      </w:r>
    </w:p>
    <w:p>
      <w:pPr>
        <w:pStyle w:val="Heading1"/>
      </w:pPr>
      <w:r>
        <w:t>V0.02 | Complete the interaction contract</w:t>
      </w:r>
    </w:p>
    <w:p>
      <w:r>
        <w:t>10–11 September • G02 on 11 September</w:t>
      </w:r>
    </w:p>
    <w:p>
      <w:pPr>
        <w:pStyle w:val="Heading2"/>
      </w:pPr>
      <w:r>
        <w:t>Proof objective</w:t>
      </w:r>
    </w:p>
    <w:p>
      <w:r>
        <w:t>Prove the full conversation interaction without waiting on a provider.</w:t>
      </w:r>
    </w:p>
    <w:tbl>
      <w:tblPr>
        <w:tblW w:type="auto" w:w="0"/>
        <w:tblLayout w:type="fixed"/>
        <w:tblLook w:firstColumn="1" w:firstRow="1" w:lastColumn="0" w:lastRow="0" w:noHBand="0" w:noVBand="1" w:val="04A0"/>
      </w:tblPr>
      <w:tblGrid>
        <w:gridCol w:w="2160"/>
        <w:gridCol w:w="7632"/>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Contract dimension</w:t>
            </w:r>
          </w:p>
        </w:tc>
        <w:tc>
          <w:tcPr>
            <w:tcW w:type="dxa" w:w="4917"/>
            <w:shd w:fill="163C43"/>
            <w:tcMar>
              <w:top w:w="85" w:type="dxa"/>
              <w:left w:w="85" w:type="dxa"/>
              <w:bottom w:w="85" w:type="dxa"/>
              <w:right w:w="85" w:type="dxa"/>
            </w:tcMar>
          </w:tcPr>
          <w:p>
            <w:pPr>
              <w:spacing w:after="60" w:line="245" w:lineRule="auto"/>
            </w:pPr>
            <w:r>
              <w:rPr>
                <w:b/>
                <w:color w:val="FFFFFF"/>
                <w:sz w:val="18"/>
              </w:rPr>
              <w:t>Cumulative requirement</w:t>
            </w:r>
          </w:p>
        </w:tc>
      </w:tr>
      <w:tr>
        <w:trPr>
          <w:cantSplit/>
        </w:trPr>
        <w:tc>
          <w:tcPr>
            <w:tcW w:type="dxa" w:w="2160"/>
            <w:shd w:fill="EFF5F4"/>
            <w:tcMar>
              <w:top w:w="85" w:type="dxa"/>
              <w:left w:w="85" w:type="dxa"/>
              <w:bottom w:w="85" w:type="dxa"/>
              <w:right w:w="85" w:type="dxa"/>
            </w:tcMar>
          </w:tcPr>
          <w:p>
            <w:pPr>
              <w:spacing w:after="60" w:line="245" w:lineRule="auto"/>
            </w:pPr>
            <w:r>
              <w:rPr>
                <w:sz w:val="18"/>
              </w:rPr>
              <w:t>Product / UX</w:t>
            </w:r>
          </w:p>
        </w:tc>
        <w:tc>
          <w:tcPr>
            <w:tcW w:type="dxa" w:w="7632"/>
            <w:shd w:fill="EFF5F4"/>
            <w:tcMar>
              <w:top w:w="85" w:type="dxa"/>
              <w:left w:w="85" w:type="dxa"/>
              <w:bottom w:w="85" w:type="dxa"/>
              <w:right w:w="85" w:type="dxa"/>
            </w:tcMar>
          </w:tcPr>
          <w:p>
            <w:pPr>
              <w:spacing w:after="60" w:line="245" w:lineRule="auto"/>
            </w:pPr>
            <w:r>
              <w:rPr>
                <w:sz w:val="18"/>
              </w:rPr>
              <w:t>Send text, loading/streaming, response, stop, retry and recoverable error. Preserve draft on failure; prevent duplicate submit. Mock mode is visible.</w:t>
            </w:r>
          </w:p>
        </w:tc>
      </w:tr>
      <w:tr>
        <w:trPr>
          <w:cantSplit/>
        </w:trPr>
        <w:tc>
          <w:tcPr>
            <w:tcW w:type="dxa" w:w="2160"/>
            <w:shd w:fill="FFFFFF"/>
            <w:tcMar>
              <w:top w:w="85" w:type="dxa"/>
              <w:left w:w="85" w:type="dxa"/>
              <w:bottom w:w="85" w:type="dxa"/>
              <w:right w:w="85" w:type="dxa"/>
            </w:tcMar>
          </w:tcPr>
          <w:p>
            <w:pPr>
              <w:spacing w:after="60" w:line="245" w:lineRule="auto"/>
            </w:pPr>
            <w:r>
              <w:rPr>
                <w:sz w:val="18"/>
              </w:rPr>
              <w:t>Technical / runtime</w:t>
            </w:r>
          </w:p>
        </w:tc>
        <w:tc>
          <w:tcPr>
            <w:tcW w:type="dxa" w:w="7632"/>
            <w:shd w:fill="FFFFFF"/>
            <w:tcMar>
              <w:top w:w="85" w:type="dxa"/>
              <w:left w:w="85" w:type="dxa"/>
              <w:bottom w:w="85" w:type="dxa"/>
              <w:right w:w="85" w:type="dxa"/>
            </w:tcMar>
          </w:tcPr>
          <w:p>
            <w:pPr>
              <w:spacing w:after="60" w:line="245" w:lineRule="auto"/>
            </w:pPr>
            <w:r>
              <w:rPr>
                <w:sz w:val="18"/>
              </w:rPr>
              <w:t>Implement versioned SupportRuntime input/events and safe errors. Mock emits success, timeout, cancel and partial-response fixtures; UI remains adapter-neutral.</w:t>
            </w:r>
          </w:p>
        </w:tc>
      </w:tr>
      <w:tr>
        <w:trPr>
          <w:cantSplit/>
        </w:trPr>
        <w:tc>
          <w:tcPr>
            <w:tcW w:type="dxa" w:w="2160"/>
            <w:shd w:fill="EFF5F4"/>
            <w:tcMar>
              <w:top w:w="85" w:type="dxa"/>
              <w:left w:w="85" w:type="dxa"/>
              <w:bottom w:w="85" w:type="dxa"/>
              <w:right w:w="85" w:type="dxa"/>
            </w:tcMar>
          </w:tcPr>
          <w:p>
            <w:pPr>
              <w:spacing w:after="60" w:line="245" w:lineRule="auto"/>
            </w:pPr>
            <w:r>
              <w:rPr>
                <w:sz w:val="18"/>
              </w:rPr>
              <w:t>Data / state</w:t>
            </w:r>
          </w:p>
        </w:tc>
        <w:tc>
          <w:tcPr>
            <w:tcW w:type="dxa" w:w="7632"/>
            <w:shd w:fill="EFF5F4"/>
            <w:tcMar>
              <w:top w:w="85" w:type="dxa"/>
              <w:left w:w="85" w:type="dxa"/>
              <w:bottom w:w="85" w:type="dxa"/>
              <w:right w:w="85" w:type="dxa"/>
            </w:tcMar>
          </w:tcPr>
          <w:p>
            <w:pPr>
              <w:spacing w:after="60" w:line="245" w:lineRule="auto"/>
            </w:pPr>
            <w:r>
              <w:rPr>
                <w:sz w:val="18"/>
              </w:rPr>
              <w:t>Run ID, correlation ID, ordered events and idempotency key in test state. Define persistent schema for V0.03; client draft is temporary.</w:t>
            </w:r>
          </w:p>
        </w:tc>
      </w:tr>
      <w:tr>
        <w:trPr>
          <w:cantSplit/>
        </w:trPr>
        <w:tc>
          <w:tcPr>
            <w:tcW w:type="dxa" w:w="2160"/>
            <w:shd w:fill="FFFFFF"/>
            <w:tcMar>
              <w:top w:w="85" w:type="dxa"/>
              <w:left w:w="85" w:type="dxa"/>
              <w:bottom w:w="85" w:type="dxa"/>
              <w:right w:w="85" w:type="dxa"/>
            </w:tcMar>
          </w:tcPr>
          <w:p>
            <w:pPr>
              <w:spacing w:after="60" w:line="245" w:lineRule="auto"/>
            </w:pPr>
            <w:r>
              <w:rPr>
                <w:sz w:val="18"/>
              </w:rPr>
              <w:t>Testing / acceptance</w:t>
            </w:r>
          </w:p>
        </w:tc>
        <w:tc>
          <w:tcPr>
            <w:tcW w:type="dxa" w:w="7632"/>
            <w:shd w:fill="FFFFFF"/>
            <w:tcMar>
              <w:top w:w="85" w:type="dxa"/>
              <w:left w:w="85" w:type="dxa"/>
              <w:bottom w:w="85" w:type="dxa"/>
              <w:right w:w="85" w:type="dxa"/>
            </w:tcMar>
          </w:tcPr>
          <w:p>
            <w:pPr>
              <w:spacing w:after="60" w:line="245" w:lineRule="auto"/>
            </w:pPr>
            <w:r>
              <w:rPr>
                <w:sz w:val="18"/>
              </w:rPr>
              <w:t>All four fixtures reach the right terminal state; cancelled runs do not later display success. Replayed event IDs produce no duplicate text; repeated submit creates one logical run.</w:t>
            </w:r>
          </w:p>
        </w:tc>
      </w:tr>
      <w:tr>
        <w:trPr>
          <w:cantSplit/>
        </w:trPr>
        <w:tc>
          <w:tcPr>
            <w:tcW w:type="dxa" w:w="2160"/>
            <w:shd w:fill="EFF5F4"/>
            <w:tcMar>
              <w:top w:w="85" w:type="dxa"/>
              <w:left w:w="85" w:type="dxa"/>
              <w:bottom w:w="85" w:type="dxa"/>
              <w:right w:w="85" w:type="dxa"/>
            </w:tcMar>
          </w:tcPr>
          <w:p>
            <w:pPr>
              <w:spacing w:after="60" w:line="245" w:lineRule="auto"/>
            </w:pPr>
            <w:r>
              <w:rPr>
                <w:sz w:val="18"/>
              </w:rPr>
              <w:t>Owners / dependencies</w:t>
            </w:r>
          </w:p>
        </w:tc>
        <w:tc>
          <w:tcPr>
            <w:tcW w:type="dxa" w:w="7632"/>
            <w:shd w:fill="EFF5F4"/>
            <w:tcMar>
              <w:top w:w="85" w:type="dxa"/>
              <w:left w:w="85" w:type="dxa"/>
              <w:bottom w:w="85" w:type="dxa"/>
              <w:right w:w="85" w:type="dxa"/>
            </w:tcMar>
          </w:tcPr>
          <w:p>
            <w:pPr>
              <w:spacing w:after="60" w:line="245" w:lineRule="auto"/>
            </w:pPr>
            <w:r>
              <w:rPr>
                <w:sz w:val="18"/>
              </w:rPr>
              <w:t>George implements contract/state machine; André approves state copy and focus behaviour. Depends on G01 and ready interaction-state frames.</w:t>
            </w:r>
          </w:p>
        </w:tc>
      </w:tr>
      <w:tr>
        <w:trPr>
          <w:cantSplit/>
        </w:trPr>
        <w:tc>
          <w:tcPr>
            <w:tcW w:type="dxa" w:w="2160"/>
            <w:shd w:fill="FFFFFF"/>
            <w:tcMar>
              <w:top w:w="85" w:type="dxa"/>
              <w:left w:w="85" w:type="dxa"/>
              <w:bottom w:w="85" w:type="dxa"/>
              <w:right w:w="85" w:type="dxa"/>
            </w:tcMar>
          </w:tcPr>
          <w:p>
            <w:pPr>
              <w:spacing w:after="60" w:line="245" w:lineRule="auto"/>
            </w:pPr>
            <w:r>
              <w:rPr>
                <w:sz w:val="18"/>
              </w:rPr>
              <w:t>Process / done / gate</w:t>
            </w:r>
          </w:p>
        </w:tc>
        <w:tc>
          <w:tcPr>
            <w:tcW w:type="dxa" w:w="7632"/>
            <w:shd w:fill="FFFFFF"/>
            <w:tcMar>
              <w:top w:w="85" w:type="dxa"/>
              <w:left w:w="85" w:type="dxa"/>
              <w:bottom w:w="85" w:type="dxa"/>
              <w:right w:w="85" w:type="dxa"/>
            </w:tcMar>
          </w:tcPr>
          <w:p>
            <w:pPr>
              <w:spacing w:after="60" w:line="245" w:lineRule="auto"/>
            </w:pPr>
            <w:r>
              <w:rPr>
                <w:sz w:val="18"/>
              </w:rPr>
              <w:t>Commit schemas, fixtures and consumer contract tests. Review runtime/transport ADRs. Common DoD plus state demo and passing contract suite earns v0.02.</w:t>
            </w:r>
          </w:p>
        </w:tc>
      </w:tr>
      <w:tr>
        <w:trPr>
          <w:cantSplit/>
        </w:trPr>
        <w:tc>
          <w:tcPr>
            <w:tcW w:type="dxa" w:w="2160"/>
            <w:shd w:fill="EFF5F4"/>
            <w:tcMar>
              <w:top w:w="85" w:type="dxa"/>
              <w:left w:w="85" w:type="dxa"/>
              <w:bottom w:w="85" w:type="dxa"/>
              <w:right w:w="85" w:type="dxa"/>
            </w:tcMar>
          </w:tcPr>
          <w:p>
            <w:pPr>
              <w:spacing w:after="60" w:line="245" w:lineRule="auto"/>
            </w:pPr>
            <w:r>
              <w:rPr>
                <w:sz w:val="18"/>
              </w:rPr>
              <w:t>Explicitly out of scope</w:t>
            </w:r>
          </w:p>
        </w:tc>
        <w:tc>
          <w:tcPr>
            <w:tcW w:type="dxa" w:w="7632"/>
            <w:shd w:fill="EFF5F4"/>
            <w:tcMar>
              <w:top w:w="85" w:type="dxa"/>
              <w:left w:w="85" w:type="dxa"/>
              <w:bottom w:w="85" w:type="dxa"/>
              <w:right w:w="85" w:type="dxa"/>
            </w:tcMar>
          </w:tcPr>
          <w:p>
            <w:pPr>
              <w:spacing w:after="60" w:line="245" w:lineRule="auto"/>
            </w:pPr>
            <w:r>
              <w:rPr>
                <w:sz w:val="18"/>
              </w:rPr>
              <w:t>Live model quality, account history, durable learning, actual tool execution and claims that the mock proves backend reliability.</w:t>
            </w:r>
          </w:p>
        </w:tc>
      </w:tr>
    </w:tbl>
    <w:p/>
    <w:p>
      <w:r>
        <w:t>Release rule: all prior accepted behaviour remains in force. Any scope variation requires a recorded decision and updated tests before gate approval. The common definition of done in section 3 applies in full.</w:t>
      </w:r>
    </w:p>
    <w:p>
      <w:r>
        <w:br w:type="page"/>
      </w:r>
    </w:p>
    <w:p>
      <w:pPr>
        <w:pStyle w:val="Subtitle"/>
      </w:pPr>
      <w:r>
        <w:t>9 • INCREMENT CONTRACT</w:t>
      </w:r>
    </w:p>
    <w:p>
      <w:pPr>
        <w:pStyle w:val="Heading1"/>
      </w:pPr>
      <w:r>
        <w:t>V0.03 | Identity and durable product state</w:t>
      </w:r>
    </w:p>
    <w:p>
      <w:r>
        <w:t>14–15 September • G03 on 15 September</w:t>
      </w:r>
    </w:p>
    <w:p>
      <w:pPr>
        <w:pStyle w:val="Heading2"/>
      </w:pPr>
      <w:r>
        <w:t>Proof objective</w:t>
      </w:r>
    </w:p>
    <w:p>
      <w:r>
        <w:t>Prove that the right person can return to their own saved state.</w:t>
      </w:r>
    </w:p>
    <w:tbl>
      <w:tblPr>
        <w:tblW w:type="auto" w:w="0"/>
        <w:tblLayout w:type="fixed"/>
        <w:tblLook w:firstColumn="1" w:firstRow="1" w:lastColumn="0" w:lastRow="0" w:noHBand="0" w:noVBand="1" w:val="04A0"/>
      </w:tblPr>
      <w:tblGrid>
        <w:gridCol w:w="2160"/>
        <w:gridCol w:w="7632"/>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Contract dimension</w:t>
            </w:r>
          </w:p>
        </w:tc>
        <w:tc>
          <w:tcPr>
            <w:tcW w:type="dxa" w:w="4917"/>
            <w:shd w:fill="163C43"/>
            <w:tcMar>
              <w:top w:w="85" w:type="dxa"/>
              <w:left w:w="85" w:type="dxa"/>
              <w:bottom w:w="85" w:type="dxa"/>
              <w:right w:w="85" w:type="dxa"/>
            </w:tcMar>
          </w:tcPr>
          <w:p>
            <w:pPr>
              <w:spacing w:after="60" w:line="245" w:lineRule="auto"/>
            </w:pPr>
            <w:r>
              <w:rPr>
                <w:b/>
                <w:color w:val="FFFFFF"/>
                <w:sz w:val="18"/>
              </w:rPr>
              <w:t>Cumulative requirement</w:t>
            </w:r>
          </w:p>
        </w:tc>
      </w:tr>
      <w:tr>
        <w:trPr>
          <w:cantSplit/>
        </w:trPr>
        <w:tc>
          <w:tcPr>
            <w:tcW w:type="dxa" w:w="2160"/>
            <w:shd w:fill="EFF5F4"/>
            <w:tcMar>
              <w:top w:w="85" w:type="dxa"/>
              <w:left w:w="85" w:type="dxa"/>
              <w:bottom w:w="85" w:type="dxa"/>
              <w:right w:w="85" w:type="dxa"/>
            </w:tcMar>
          </w:tcPr>
          <w:p>
            <w:pPr>
              <w:spacing w:after="60" w:line="245" w:lineRule="auto"/>
            </w:pPr>
            <w:r>
              <w:rPr>
                <w:sz w:val="18"/>
              </w:rPr>
              <w:t>Product / UX</w:t>
            </w:r>
          </w:p>
        </w:tc>
        <w:tc>
          <w:tcPr>
            <w:tcW w:type="dxa" w:w="7632"/>
            <w:shd w:fill="EFF5F4"/>
            <w:tcMar>
              <w:top w:w="85" w:type="dxa"/>
              <w:left w:w="85" w:type="dxa"/>
              <w:bottom w:w="85" w:type="dxa"/>
              <w:right w:w="85" w:type="dxa"/>
            </w:tcMar>
          </w:tcPr>
          <w:p>
            <w:pPr>
              <w:spacing w:after="60" w:line="245" w:lineRule="auto"/>
            </w:pPr>
            <w:r>
              <w:rPr>
                <w:sz w:val="18"/>
              </w:rPr>
              <w:t>Invite-only sign-in/out, session-expiry handling, basic history/resume and short privacy explanation. Empty and permission-denied states use the shared shell.</w:t>
            </w:r>
          </w:p>
        </w:tc>
      </w:tr>
      <w:tr>
        <w:trPr>
          <w:cantSplit/>
        </w:trPr>
        <w:tc>
          <w:tcPr>
            <w:tcW w:type="dxa" w:w="2160"/>
            <w:shd w:fill="FFFFFF"/>
            <w:tcMar>
              <w:top w:w="85" w:type="dxa"/>
              <w:left w:w="85" w:type="dxa"/>
              <w:bottom w:w="85" w:type="dxa"/>
              <w:right w:w="85" w:type="dxa"/>
            </w:tcMar>
          </w:tcPr>
          <w:p>
            <w:pPr>
              <w:spacing w:after="60" w:line="245" w:lineRule="auto"/>
            </w:pPr>
            <w:r>
              <w:rPr>
                <w:sz w:val="18"/>
              </w:rPr>
              <w:t>Technical / runtime</w:t>
            </w:r>
          </w:p>
        </w:tc>
        <w:tc>
          <w:tcPr>
            <w:tcW w:type="dxa" w:w="7632"/>
            <w:shd w:fill="FFFFFF"/>
            <w:tcMar>
              <w:top w:w="85" w:type="dxa"/>
              <w:left w:w="85" w:type="dxa"/>
              <w:bottom w:w="85" w:type="dxa"/>
              <w:right w:w="85" w:type="dxa"/>
            </w:tcMar>
          </w:tcPr>
          <w:p>
            <w:pPr>
              <w:spacing w:after="60" w:line="245" w:lineRule="auto"/>
            </w:pPr>
            <w:r>
              <w:rPr>
                <w:sz w:val="18"/>
              </w:rPr>
              <w:t>Server-derived identity, authorised product API and managed auth. Commit migrations and row/object isolation policies; mock still drives response fixtures.</w:t>
            </w:r>
          </w:p>
        </w:tc>
      </w:tr>
      <w:tr>
        <w:trPr>
          <w:cantSplit/>
        </w:trPr>
        <w:tc>
          <w:tcPr>
            <w:tcW w:type="dxa" w:w="2160"/>
            <w:shd w:fill="EFF5F4"/>
            <w:tcMar>
              <w:top w:w="85" w:type="dxa"/>
              <w:left w:w="85" w:type="dxa"/>
              <w:bottom w:w="85" w:type="dxa"/>
              <w:right w:w="85" w:type="dxa"/>
            </w:tcMar>
          </w:tcPr>
          <w:p>
            <w:pPr>
              <w:spacing w:after="60" w:line="245" w:lineRule="auto"/>
            </w:pPr>
            <w:r>
              <w:rPr>
                <w:sz w:val="18"/>
              </w:rPr>
              <w:t>Data / state</w:t>
            </w:r>
          </w:p>
        </w:tc>
        <w:tc>
          <w:tcPr>
            <w:tcW w:type="dxa" w:w="7632"/>
            <w:shd w:fill="EFF5F4"/>
            <w:tcMar>
              <w:top w:w="85" w:type="dxa"/>
              <w:left w:w="85" w:type="dxa"/>
              <w:bottom w:w="85" w:type="dxa"/>
              <w:right w:w="85" w:type="dxa"/>
            </w:tcMar>
          </w:tcPr>
          <w:p>
            <w:pPr>
              <w:spacing w:after="60" w:line="245" w:lineRule="auto"/>
            </w:pPr>
            <w:r>
              <w:rPr>
                <w:sz w:val="18"/>
              </w:rPr>
              <w:t>Persist users, conversations, messages and run ownership. Record notice/control version. Keep synthetic fixtures separate from live environments.</w:t>
            </w:r>
          </w:p>
        </w:tc>
      </w:tr>
      <w:tr>
        <w:trPr>
          <w:cantSplit/>
        </w:trPr>
        <w:tc>
          <w:tcPr>
            <w:tcW w:type="dxa" w:w="2160"/>
            <w:shd w:fill="FFFFFF"/>
            <w:tcMar>
              <w:top w:w="85" w:type="dxa"/>
              <w:left w:w="85" w:type="dxa"/>
              <w:bottom w:w="85" w:type="dxa"/>
              <w:right w:w="85" w:type="dxa"/>
            </w:tcMar>
          </w:tcPr>
          <w:p>
            <w:pPr>
              <w:spacing w:after="60" w:line="245" w:lineRule="auto"/>
            </w:pPr>
            <w:r>
              <w:rPr>
                <w:sz w:val="18"/>
              </w:rPr>
              <w:t>Testing / acceptance</w:t>
            </w:r>
          </w:p>
        </w:tc>
        <w:tc>
          <w:tcPr>
            <w:tcW w:type="dxa" w:w="7632"/>
            <w:shd w:fill="FFFFFF"/>
            <w:tcMar>
              <w:top w:w="85" w:type="dxa"/>
              <w:left w:w="85" w:type="dxa"/>
              <w:bottom w:w="85" w:type="dxa"/>
              <w:right w:w="85" w:type="dxa"/>
            </w:tcMar>
          </w:tcPr>
          <w:p>
            <w:pPr>
              <w:spacing w:after="60" w:line="245" w:lineRule="auto"/>
            </w:pPr>
            <w:r>
              <w:rPr>
                <w:sz w:val="18"/>
              </w:rPr>
              <w:t>Two test users cannot read, modify, stream or enumerate one another’s records by tampering with IDs. Sign out/in restores only the owner’s history. A clean database rebuilds using migrations.</w:t>
            </w:r>
          </w:p>
        </w:tc>
      </w:tr>
      <w:tr>
        <w:trPr>
          <w:cantSplit/>
        </w:trPr>
        <w:tc>
          <w:tcPr>
            <w:tcW w:type="dxa" w:w="2160"/>
            <w:shd w:fill="EFF5F4"/>
            <w:tcMar>
              <w:top w:w="85" w:type="dxa"/>
              <w:left w:w="85" w:type="dxa"/>
              <w:bottom w:w="85" w:type="dxa"/>
              <w:right w:w="85" w:type="dxa"/>
            </w:tcMar>
          </w:tcPr>
          <w:p>
            <w:pPr>
              <w:spacing w:after="60" w:line="245" w:lineRule="auto"/>
            </w:pPr>
            <w:r>
              <w:rPr>
                <w:sz w:val="18"/>
              </w:rPr>
              <w:t>Owners / dependencies</w:t>
            </w:r>
          </w:p>
        </w:tc>
        <w:tc>
          <w:tcPr>
            <w:tcW w:type="dxa" w:w="7632"/>
            <w:shd w:fill="EFF5F4"/>
            <w:tcMar>
              <w:top w:w="85" w:type="dxa"/>
              <w:left w:w="85" w:type="dxa"/>
              <w:bottom w:w="85" w:type="dxa"/>
              <w:right w:w="85" w:type="dxa"/>
            </w:tcMar>
          </w:tcPr>
          <w:p>
            <w:pPr>
              <w:spacing w:after="60" w:line="245" w:lineRule="auto"/>
            </w:pPr>
            <w:r>
              <w:rPr>
                <w:sz w:val="18"/>
              </w:rPr>
              <w:t>George owns auth/data/isolation. André owns invite and notice UX. Joint selection of data/auth platform. Depends on G02 and environment access.</w:t>
            </w:r>
          </w:p>
        </w:tc>
      </w:tr>
      <w:tr>
        <w:trPr>
          <w:cantSplit/>
        </w:trPr>
        <w:tc>
          <w:tcPr>
            <w:tcW w:type="dxa" w:w="2160"/>
            <w:shd w:fill="FFFFFF"/>
            <w:tcMar>
              <w:top w:w="85" w:type="dxa"/>
              <w:left w:w="85" w:type="dxa"/>
              <w:bottom w:w="85" w:type="dxa"/>
              <w:right w:w="85" w:type="dxa"/>
            </w:tcMar>
          </w:tcPr>
          <w:p>
            <w:pPr>
              <w:spacing w:after="60" w:line="245" w:lineRule="auto"/>
            </w:pPr>
            <w:r>
              <w:rPr>
                <w:sz w:val="18"/>
              </w:rPr>
              <w:t>Process / done / gate</w:t>
            </w:r>
          </w:p>
        </w:tc>
        <w:tc>
          <w:tcPr>
            <w:tcW w:type="dxa" w:w="7632"/>
            <w:shd w:fill="FFFFFF"/>
            <w:tcMar>
              <w:top w:w="85" w:type="dxa"/>
              <w:left w:w="85" w:type="dxa"/>
              <w:bottom w:w="85" w:type="dxa"/>
              <w:right w:w="85" w:type="dxa"/>
            </w:tcMar>
          </w:tcPr>
          <w:p>
            <w:pPr>
              <w:spacing w:after="60" w:line="245" w:lineRule="auto"/>
            </w:pPr>
            <w:r>
              <w:rPr>
                <w:sz w:val="18"/>
              </w:rPr>
              <w:t>CI runs migration and cross-user tests. Attach recovery and session-expiry evidence. Common DoD plus owner-isolation PASS earns v0.03; no real users before relevant privacy gates.</w:t>
            </w:r>
          </w:p>
        </w:tc>
      </w:tr>
      <w:tr>
        <w:trPr>
          <w:cantSplit/>
        </w:trPr>
        <w:tc>
          <w:tcPr>
            <w:tcW w:type="dxa" w:w="2160"/>
            <w:shd w:fill="EFF5F4"/>
            <w:tcMar>
              <w:top w:w="85" w:type="dxa"/>
              <w:left w:w="85" w:type="dxa"/>
              <w:bottom w:w="85" w:type="dxa"/>
              <w:right w:w="85" w:type="dxa"/>
            </w:tcMar>
          </w:tcPr>
          <w:p>
            <w:pPr>
              <w:spacing w:after="60" w:line="245" w:lineRule="auto"/>
            </w:pPr>
            <w:r>
              <w:rPr>
                <w:sz w:val="18"/>
              </w:rPr>
              <w:t>Explicitly out of scope</w:t>
            </w:r>
          </w:p>
        </w:tc>
        <w:tc>
          <w:tcPr>
            <w:tcW w:type="dxa" w:w="7632"/>
            <w:shd w:fill="EFF5F4"/>
            <w:tcMar>
              <w:top w:w="85" w:type="dxa"/>
              <w:left w:w="85" w:type="dxa"/>
              <w:bottom w:w="85" w:type="dxa"/>
              <w:right w:w="85" w:type="dxa"/>
            </w:tcMar>
          </w:tcPr>
          <w:p>
            <w:pPr>
              <w:spacing w:after="60" w:line="245" w:lineRule="auto"/>
            </w:pPr>
            <w:r>
              <w:rPr>
                <w:sz w:val="18"/>
              </w:rPr>
              <w:t>Organisation accounts, role hierarchies, public self-service signup, social login breadth, NPR inference and persistent browser-profile storage.</w:t>
            </w:r>
          </w:p>
        </w:tc>
      </w:tr>
    </w:tbl>
    <w:p/>
    <w:p>
      <w:r>
        <w:t>Release rule: all prior accepted behaviour remains in force. Any scope variation requires a recorded decision and updated tests before gate approval. The common definition of done in section 3 applies in full.</w:t>
      </w:r>
    </w:p>
    <w:p>
      <w:r>
        <w:br w:type="page"/>
      </w:r>
    </w:p>
    <w:p>
      <w:pPr>
        <w:pStyle w:val="Subtitle"/>
      </w:pPr>
      <w:r>
        <w:t>10 • INCREMENT CONTRACT</w:t>
      </w:r>
    </w:p>
    <w:p>
      <w:pPr>
        <w:pStyle w:val="Heading1"/>
      </w:pPr>
      <w:r>
        <w:t>V0.04 | User-governed context and real support</w:t>
      </w:r>
    </w:p>
    <w:p>
      <w:r>
        <w:t>16–18 September • G04 on 18 September</w:t>
      </w:r>
    </w:p>
    <w:p>
      <w:pPr>
        <w:pStyle w:val="Heading2"/>
      </w:pPr>
      <w:r>
        <w:t>Proof objective</w:t>
      </w:r>
    </w:p>
    <w:p>
      <w:r>
        <w:t>Prove useful adaptation with transparent, correctable personal context.</w:t>
      </w:r>
    </w:p>
    <w:tbl>
      <w:tblPr>
        <w:tblW w:type="auto" w:w="0"/>
        <w:tblLayout w:type="fixed"/>
        <w:tblLook w:firstColumn="1" w:firstRow="1" w:lastColumn="0" w:lastRow="0" w:noHBand="0" w:noVBand="1" w:val="04A0"/>
      </w:tblPr>
      <w:tblGrid>
        <w:gridCol w:w="2160"/>
        <w:gridCol w:w="7632"/>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Contract dimension</w:t>
            </w:r>
          </w:p>
        </w:tc>
        <w:tc>
          <w:tcPr>
            <w:tcW w:type="dxa" w:w="4917"/>
            <w:shd w:fill="163C43"/>
            <w:tcMar>
              <w:top w:w="85" w:type="dxa"/>
              <w:left w:w="85" w:type="dxa"/>
              <w:bottom w:w="85" w:type="dxa"/>
              <w:right w:w="85" w:type="dxa"/>
            </w:tcMar>
          </w:tcPr>
          <w:p>
            <w:pPr>
              <w:spacing w:after="60" w:line="245" w:lineRule="auto"/>
            </w:pPr>
            <w:r>
              <w:rPr>
                <w:b/>
                <w:color w:val="FFFFFF"/>
                <w:sz w:val="18"/>
              </w:rPr>
              <w:t>Cumulative requirement</w:t>
            </w:r>
          </w:p>
        </w:tc>
      </w:tr>
      <w:tr>
        <w:trPr>
          <w:cantSplit/>
        </w:trPr>
        <w:tc>
          <w:tcPr>
            <w:tcW w:type="dxa" w:w="2160"/>
            <w:shd w:fill="EFF5F4"/>
            <w:tcMar>
              <w:top w:w="85" w:type="dxa"/>
              <w:left w:w="85" w:type="dxa"/>
              <w:bottom w:w="85" w:type="dxa"/>
              <w:right w:w="85" w:type="dxa"/>
            </w:tcMar>
          </w:tcPr>
          <w:p>
            <w:pPr>
              <w:spacing w:after="60" w:line="245" w:lineRule="auto"/>
            </w:pPr>
            <w:r>
              <w:rPr>
                <w:sz w:val="18"/>
              </w:rPr>
              <w:t>Product / UX</w:t>
            </w:r>
          </w:p>
        </w:tc>
        <w:tc>
          <w:tcPr>
            <w:tcW w:type="dxa" w:w="7632"/>
            <w:shd w:fill="EFF5F4"/>
            <w:tcMar>
              <w:top w:w="85" w:type="dxa"/>
              <w:left w:w="85" w:type="dxa"/>
              <w:bottom w:w="85" w:type="dxa"/>
              <w:right w:w="85" w:type="dxa"/>
            </w:tcMar>
          </w:tcPr>
          <w:p>
            <w:pPr>
              <w:spacing w:after="60" w:line="245" w:lineRule="auto"/>
            </w:pPr>
            <w:r>
              <w:rPr>
                <w:sz w:val="18"/>
              </w:rPr>
              <w:t>Skippable/resumable discovery; review initial synthesis; inspect, edit, restrict and delete a minimal context item. Context-aware Chat remains useful with no profile.</w:t>
            </w:r>
          </w:p>
        </w:tc>
      </w:tr>
      <w:tr>
        <w:trPr>
          <w:cantSplit/>
        </w:trPr>
        <w:tc>
          <w:tcPr>
            <w:tcW w:type="dxa" w:w="2160"/>
            <w:shd w:fill="FFFFFF"/>
            <w:tcMar>
              <w:top w:w="85" w:type="dxa"/>
              <w:left w:w="85" w:type="dxa"/>
              <w:bottom w:w="85" w:type="dxa"/>
              <w:right w:w="85" w:type="dxa"/>
            </w:tcMar>
          </w:tcPr>
          <w:p>
            <w:pPr>
              <w:spacing w:after="60" w:line="245" w:lineRule="auto"/>
            </w:pPr>
            <w:r>
              <w:rPr>
                <w:sz w:val="18"/>
              </w:rPr>
              <w:t>Technical / runtime</w:t>
            </w:r>
          </w:p>
        </w:tc>
        <w:tc>
          <w:tcPr>
            <w:tcW w:type="dxa" w:w="7632"/>
            <w:shd w:fill="FFFFFF"/>
            <w:tcMar>
              <w:top w:w="85" w:type="dxa"/>
              <w:left w:w="85" w:type="dxa"/>
              <w:bottom w:w="85" w:type="dxa"/>
              <w:right w:w="85" w:type="dxa"/>
            </w:tcMar>
          </w:tcPr>
          <w:p>
            <w:pPr>
              <w:spacing w:after="60" w:line="245" w:lineRule="auto"/>
            </w:pPr>
            <w:r>
              <w:rPr>
                <w:sz w:val="18"/>
              </w:rPr>
              <w:t>NPR store and Context Compiler feed a server-side direct-provider adapter for real support. AIMS-lite checks eligibility and records context/run decisions. No direct browser model call.</w:t>
            </w:r>
          </w:p>
        </w:tc>
      </w:tr>
      <w:tr>
        <w:trPr>
          <w:cantSplit/>
        </w:trPr>
        <w:tc>
          <w:tcPr>
            <w:tcW w:type="dxa" w:w="2160"/>
            <w:shd w:fill="EFF5F4"/>
            <w:tcMar>
              <w:top w:w="85" w:type="dxa"/>
              <w:left w:w="85" w:type="dxa"/>
              <w:bottom w:w="85" w:type="dxa"/>
              <w:right w:w="85" w:type="dxa"/>
            </w:tcMar>
          </w:tcPr>
          <w:p>
            <w:pPr>
              <w:spacing w:after="60" w:line="245" w:lineRule="auto"/>
            </w:pPr>
            <w:r>
              <w:rPr>
                <w:sz w:val="18"/>
              </w:rPr>
              <w:t>Data / state</w:t>
            </w:r>
          </w:p>
        </w:tc>
        <w:tc>
          <w:tcPr>
            <w:tcW w:type="dxa" w:w="7632"/>
            <w:shd w:fill="EFF5F4"/>
            <w:tcMar>
              <w:top w:w="85" w:type="dxa"/>
              <w:left w:w="85" w:type="dxa"/>
              <w:bottom w:w="85" w:type="dxa"/>
              <w:right w:w="85" w:type="dxa"/>
            </w:tcMar>
          </w:tcPr>
          <w:p>
            <w:pPr>
              <w:spacing w:after="60" w:line="245" w:lineRule="auto"/>
            </w:pPr>
            <w:r>
              <w:rPr>
                <w:sz w:val="18"/>
              </w:rPr>
              <w:t>Minimum preference/assertion with tier, provenance, confirmation, lifecycle, controls and version; context projection and deletion marker. No inferred diagnosis fields.</w:t>
            </w:r>
          </w:p>
        </w:tc>
      </w:tr>
      <w:tr>
        <w:trPr>
          <w:cantSplit/>
        </w:trPr>
        <w:tc>
          <w:tcPr>
            <w:tcW w:type="dxa" w:w="2160"/>
            <w:shd w:fill="FFFFFF"/>
            <w:tcMar>
              <w:top w:w="85" w:type="dxa"/>
              <w:left w:w="85" w:type="dxa"/>
              <w:bottom w:w="85" w:type="dxa"/>
              <w:right w:w="85" w:type="dxa"/>
            </w:tcMar>
          </w:tcPr>
          <w:p>
            <w:pPr>
              <w:spacing w:after="60" w:line="245" w:lineRule="auto"/>
            </w:pPr>
            <w:r>
              <w:rPr>
                <w:sz w:val="18"/>
              </w:rPr>
              <w:t>Testing / acceptance</w:t>
            </w:r>
          </w:p>
        </w:tc>
        <w:tc>
          <w:tcPr>
            <w:tcW w:type="dxa" w:w="7632"/>
            <w:shd w:fill="FFFFFF"/>
            <w:tcMar>
              <w:top w:w="85" w:type="dxa"/>
              <w:left w:w="85" w:type="dxa"/>
              <w:bottom w:w="85" w:type="dxa"/>
              <w:right w:w="85" w:type="dxa"/>
            </w:tcMar>
          </w:tcPr>
          <w:p>
            <w:pPr>
              <w:spacing w:after="60" w:line="245" w:lineRule="auto"/>
            </w:pPr>
            <w:r>
              <w:rPr>
                <w:sz w:val="18"/>
              </w:rPr>
              <w:t>Two contrasting confirmed preferences yield visibly appropriate responses. Current instruction wins; expired/restricted items are excluded. Editing changes the next projection; deleting removes future eligibility. Skip still reaches first support.</w:t>
            </w:r>
          </w:p>
        </w:tc>
      </w:tr>
      <w:tr>
        <w:trPr>
          <w:cantSplit/>
        </w:trPr>
        <w:tc>
          <w:tcPr>
            <w:tcW w:type="dxa" w:w="2160"/>
            <w:shd w:fill="EFF5F4"/>
            <w:tcMar>
              <w:top w:w="85" w:type="dxa"/>
              <w:left w:w="85" w:type="dxa"/>
              <w:bottom w:w="85" w:type="dxa"/>
              <w:right w:w="85" w:type="dxa"/>
            </w:tcMar>
          </w:tcPr>
          <w:p>
            <w:pPr>
              <w:spacing w:after="60" w:line="245" w:lineRule="auto"/>
            </w:pPr>
            <w:r>
              <w:rPr>
                <w:sz w:val="18"/>
              </w:rPr>
              <w:t>Owners / dependencies</w:t>
            </w:r>
          </w:p>
        </w:tc>
        <w:tc>
          <w:tcPr>
            <w:tcW w:type="dxa" w:w="7632"/>
            <w:shd w:fill="EFF5F4"/>
            <w:tcMar>
              <w:top w:w="85" w:type="dxa"/>
              <w:left w:w="85" w:type="dxa"/>
              <w:bottom w:w="85" w:type="dxa"/>
              <w:right w:w="85" w:type="dxa"/>
            </w:tcMar>
          </w:tcPr>
          <w:p>
            <w:pPr>
              <w:spacing w:after="60" w:line="245" w:lineRule="auto"/>
            </w:pPr>
            <w:r>
              <w:rPr>
                <w:sz w:val="18"/>
              </w:rPr>
              <w:t>André approves discovery and adaptation rubric; George implements lifecycle/compiler/provider. Joint privacy/routing approval. Depends on G03, bounded test credentials and approved schemas.</w:t>
            </w:r>
          </w:p>
        </w:tc>
      </w:tr>
      <w:tr>
        <w:trPr>
          <w:cantSplit/>
        </w:trPr>
        <w:tc>
          <w:tcPr>
            <w:tcW w:type="dxa" w:w="2160"/>
            <w:shd w:fill="FFFFFF"/>
            <w:tcMar>
              <w:top w:w="85" w:type="dxa"/>
              <w:left w:w="85" w:type="dxa"/>
              <w:bottom w:w="85" w:type="dxa"/>
              <w:right w:w="85" w:type="dxa"/>
            </w:tcMar>
          </w:tcPr>
          <w:p>
            <w:pPr>
              <w:spacing w:after="60" w:line="245" w:lineRule="auto"/>
            </w:pPr>
            <w:r>
              <w:rPr>
                <w:sz w:val="18"/>
              </w:rPr>
              <w:t>Process / done / gate</w:t>
            </w:r>
          </w:p>
        </w:tc>
        <w:tc>
          <w:tcPr>
            <w:tcW w:type="dxa" w:w="7632"/>
            <w:shd w:fill="FFFFFF"/>
            <w:tcMar>
              <w:top w:w="85" w:type="dxa"/>
              <w:left w:w="85" w:type="dxa"/>
              <w:bottom w:w="85" w:type="dxa"/>
              <w:right w:w="85" w:type="dxa"/>
            </w:tcMar>
          </w:tcPr>
          <w:p>
            <w:pPr>
              <w:spacing w:after="60" w:line="245" w:lineRule="auto"/>
            </w:pPr>
            <w:r>
              <w:rPr>
                <w:sz w:val="18"/>
              </w:rPr>
              <w:t>Test with synthetic records only; log minimisation and isolation tests pass. Common DoD plus projection and real-support evidence earns v0.04.</w:t>
            </w:r>
          </w:p>
        </w:tc>
      </w:tr>
      <w:tr>
        <w:trPr>
          <w:cantSplit/>
        </w:trPr>
        <w:tc>
          <w:tcPr>
            <w:tcW w:type="dxa" w:w="2160"/>
            <w:shd w:fill="EFF5F4"/>
            <w:tcMar>
              <w:top w:w="85" w:type="dxa"/>
              <w:left w:w="85" w:type="dxa"/>
              <w:bottom w:w="85" w:type="dxa"/>
              <w:right w:w="85" w:type="dxa"/>
            </w:tcMar>
          </w:tcPr>
          <w:p>
            <w:pPr>
              <w:spacing w:after="60" w:line="245" w:lineRule="auto"/>
            </w:pPr>
            <w:r>
              <w:rPr>
                <w:sz w:val="18"/>
              </w:rPr>
              <w:t>Explicitly out of scope</w:t>
            </w:r>
          </w:p>
        </w:tc>
        <w:tc>
          <w:tcPr>
            <w:tcW w:type="dxa" w:w="7632"/>
            <w:shd w:fill="EFF5F4"/>
            <w:tcMar>
              <w:top w:w="85" w:type="dxa"/>
              <w:left w:w="85" w:type="dxa"/>
              <w:bottom w:w="85" w:type="dxa"/>
              <w:right w:w="85" w:type="dxa"/>
            </w:tcMar>
          </w:tcPr>
          <w:p>
            <w:pPr>
              <w:spacing w:after="60" w:line="245" w:lineRule="auto"/>
            </w:pPr>
            <w:r>
              <w:rPr>
                <w:sz w:val="18"/>
              </w:rPr>
              <w:t>Full NPR ontology, vector database, diagnostic inference, silent durable memory, external side effects and full learning automation.</w:t>
            </w:r>
          </w:p>
        </w:tc>
      </w:tr>
    </w:tbl>
    <w:p/>
    <w:p>
      <w:r>
        <w:t>Release rule: all prior accepted behaviour remains in force. Any scope variation requires a recorded decision and updated tests before gate approval. The common definition of done in section 3 applies in full.</w:t>
      </w:r>
    </w:p>
    <w:p>
      <w:r>
        <w:br w:type="page"/>
      </w:r>
    </w:p>
    <w:p>
      <w:pPr>
        <w:pStyle w:val="Subtitle"/>
      </w:pPr>
      <w:r>
        <w:t>11 • INCREMENT CONTRACT</w:t>
      </w:r>
    </w:p>
    <w:p>
      <w:pPr>
        <w:pStyle w:val="Heading1"/>
      </w:pPr>
      <w:r>
        <w:t>V0.05 | Chat becomes persistent Work</w:t>
      </w:r>
    </w:p>
    <w:p>
      <w:r>
        <w:t>21–22 September • G05 on 22 September</w:t>
      </w:r>
    </w:p>
    <w:p>
      <w:pPr>
        <w:pStyle w:val="Heading2"/>
      </w:pPr>
      <w:r>
        <w:t>Proof objective</w:t>
      </w:r>
    </w:p>
    <w:p>
      <w:r>
        <w:t>Prove that a user’s intention becomes an editable, resumable work item.</w:t>
      </w:r>
    </w:p>
    <w:tbl>
      <w:tblPr>
        <w:tblW w:type="auto" w:w="0"/>
        <w:tblLayout w:type="fixed"/>
        <w:tblLook w:firstColumn="1" w:firstRow="1" w:lastColumn="0" w:lastRow="0" w:noHBand="0" w:noVBand="1" w:val="04A0"/>
      </w:tblPr>
      <w:tblGrid>
        <w:gridCol w:w="2160"/>
        <w:gridCol w:w="7632"/>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Contract dimension</w:t>
            </w:r>
          </w:p>
        </w:tc>
        <w:tc>
          <w:tcPr>
            <w:tcW w:type="dxa" w:w="4917"/>
            <w:shd w:fill="163C43"/>
            <w:tcMar>
              <w:top w:w="85" w:type="dxa"/>
              <w:left w:w="85" w:type="dxa"/>
              <w:bottom w:w="85" w:type="dxa"/>
              <w:right w:w="85" w:type="dxa"/>
            </w:tcMar>
          </w:tcPr>
          <w:p>
            <w:pPr>
              <w:spacing w:after="60" w:line="245" w:lineRule="auto"/>
            </w:pPr>
            <w:r>
              <w:rPr>
                <w:b/>
                <w:color w:val="FFFFFF"/>
                <w:sz w:val="18"/>
              </w:rPr>
              <w:t>Cumulative requirement</w:t>
            </w:r>
          </w:p>
        </w:tc>
      </w:tr>
      <w:tr>
        <w:trPr>
          <w:cantSplit/>
        </w:trPr>
        <w:tc>
          <w:tcPr>
            <w:tcW w:type="dxa" w:w="2160"/>
            <w:shd w:fill="EFF5F4"/>
            <w:tcMar>
              <w:top w:w="85" w:type="dxa"/>
              <w:left w:w="85" w:type="dxa"/>
              <w:bottom w:w="85" w:type="dxa"/>
              <w:right w:w="85" w:type="dxa"/>
            </w:tcMar>
          </w:tcPr>
          <w:p>
            <w:pPr>
              <w:spacing w:after="60" w:line="245" w:lineRule="auto"/>
            </w:pPr>
            <w:r>
              <w:rPr>
                <w:sz w:val="18"/>
              </w:rPr>
              <w:t>Product / UX</w:t>
            </w:r>
          </w:p>
        </w:tc>
        <w:tc>
          <w:tcPr>
            <w:tcW w:type="dxa" w:w="7632"/>
            <w:shd w:fill="EFF5F4"/>
            <w:tcMar>
              <w:top w:w="85" w:type="dxa"/>
              <w:left w:w="85" w:type="dxa"/>
              <w:bottom w:w="85" w:type="dxa"/>
              <w:right w:w="85" w:type="dxa"/>
            </w:tcMar>
          </w:tcPr>
          <w:p>
            <w:pPr>
              <w:spacing w:after="60" w:line="245" w:lineRule="auto"/>
            </w:pPr>
            <w:r>
              <w:rPr>
                <w:sz w:val="18"/>
              </w:rPr>
              <w:t>Chat proposes the selected meeting-preparation workflow. Explicit Start Work opens Work with a task, next action and editable plan artefact; Home offers Continue. Include approve/deny and failure states.</w:t>
            </w:r>
          </w:p>
        </w:tc>
      </w:tr>
      <w:tr>
        <w:trPr>
          <w:cantSplit/>
        </w:trPr>
        <w:tc>
          <w:tcPr>
            <w:tcW w:type="dxa" w:w="2160"/>
            <w:shd w:fill="FFFFFF"/>
            <w:tcMar>
              <w:top w:w="85" w:type="dxa"/>
              <w:left w:w="85" w:type="dxa"/>
              <w:bottom w:w="85" w:type="dxa"/>
              <w:right w:w="85" w:type="dxa"/>
            </w:tcMar>
          </w:tcPr>
          <w:p>
            <w:pPr>
              <w:spacing w:after="60" w:line="245" w:lineRule="auto"/>
            </w:pPr>
            <w:r>
              <w:rPr>
                <w:sz w:val="18"/>
              </w:rPr>
              <w:t>Technical / runtime</w:t>
            </w:r>
          </w:p>
        </w:tc>
        <w:tc>
          <w:tcPr>
            <w:tcW w:type="dxa" w:w="7632"/>
            <w:shd w:fill="FFFFFF"/>
            <w:tcMar>
              <w:top w:w="85" w:type="dxa"/>
              <w:left w:w="85" w:type="dxa"/>
              <w:bottom w:w="85" w:type="dxa"/>
              <w:right w:w="85" w:type="dxa"/>
            </w:tcMar>
          </w:tcPr>
          <w:p>
            <w:pPr>
              <w:spacing w:after="60" w:line="245" w:lineRule="auto"/>
            </w:pPr>
            <w:r>
              <w:rPr>
                <w:sz w:val="18"/>
              </w:rPr>
              <w:t>Product service owns WorkTask/artefact writes; runtime returns proposals only. Internal write gate binds user, run, action and input version. Mock workflow may be used until G06.</w:t>
            </w:r>
          </w:p>
        </w:tc>
      </w:tr>
      <w:tr>
        <w:trPr>
          <w:cantSplit/>
        </w:trPr>
        <w:tc>
          <w:tcPr>
            <w:tcW w:type="dxa" w:w="2160"/>
            <w:shd w:fill="EFF5F4"/>
            <w:tcMar>
              <w:top w:w="85" w:type="dxa"/>
              <w:left w:w="85" w:type="dxa"/>
              <w:bottom w:w="85" w:type="dxa"/>
              <w:right w:w="85" w:type="dxa"/>
            </w:tcMar>
          </w:tcPr>
          <w:p>
            <w:pPr>
              <w:spacing w:after="60" w:line="245" w:lineRule="auto"/>
            </w:pPr>
            <w:r>
              <w:rPr>
                <w:sz w:val="18"/>
              </w:rPr>
              <w:t>Data / state</w:t>
            </w:r>
          </w:p>
        </w:tc>
        <w:tc>
          <w:tcPr>
            <w:tcW w:type="dxa" w:w="7632"/>
            <w:shd w:fill="EFF5F4"/>
            <w:tcMar>
              <w:top w:w="85" w:type="dxa"/>
              <w:left w:w="85" w:type="dxa"/>
              <w:bottom w:w="85" w:type="dxa"/>
              <w:right w:w="85" w:type="dxa"/>
            </w:tcMar>
          </w:tcPr>
          <w:p>
            <w:pPr>
              <w:spacing w:after="60" w:line="245" w:lineRule="auto"/>
            </w:pPr>
            <w:r>
              <w:rPr>
                <w:sz w:val="18"/>
              </w:rPr>
              <w:t>Persist project, task, artefact versions, source run and authorisation receipt. Link conversation → WorkTask → artefact. No fake completion on navigation.</w:t>
            </w:r>
          </w:p>
        </w:tc>
      </w:tr>
      <w:tr>
        <w:trPr>
          <w:cantSplit/>
        </w:trPr>
        <w:tc>
          <w:tcPr>
            <w:tcW w:type="dxa" w:w="2160"/>
            <w:shd w:fill="FFFFFF"/>
            <w:tcMar>
              <w:top w:w="85" w:type="dxa"/>
              <w:left w:w="85" w:type="dxa"/>
              <w:bottom w:w="85" w:type="dxa"/>
              <w:right w:w="85" w:type="dxa"/>
            </w:tcMar>
          </w:tcPr>
          <w:p>
            <w:pPr>
              <w:spacing w:after="60" w:line="245" w:lineRule="auto"/>
            </w:pPr>
            <w:r>
              <w:rPr>
                <w:sz w:val="18"/>
              </w:rPr>
              <w:t>Testing / acceptance</w:t>
            </w:r>
          </w:p>
        </w:tc>
        <w:tc>
          <w:tcPr>
            <w:tcW w:type="dxa" w:w="7632"/>
            <w:shd w:fill="FFFFFF"/>
            <w:tcMar>
              <w:top w:w="85" w:type="dxa"/>
              <w:left w:w="85" w:type="dxa"/>
              <w:bottom w:w="85" w:type="dxa"/>
              <w:right w:w="85" w:type="dxa"/>
            </w:tcMar>
          </w:tcPr>
          <w:p>
            <w:pPr>
              <w:spacing w:after="60" w:line="245" w:lineRule="auto"/>
            </w:pPr>
            <w:r>
              <w:rPr>
                <w:sz w:val="18"/>
              </w:rPr>
              <w:t>Approve creates exactly one owned work item; deny creates none. Repeated approval is idempotent; expired or altered-input approval fails. Refresh and later login recover the task and edited artefact.</w:t>
            </w:r>
          </w:p>
        </w:tc>
      </w:tr>
      <w:tr>
        <w:trPr>
          <w:cantSplit/>
        </w:trPr>
        <w:tc>
          <w:tcPr>
            <w:tcW w:type="dxa" w:w="2160"/>
            <w:shd w:fill="EFF5F4"/>
            <w:tcMar>
              <w:top w:w="85" w:type="dxa"/>
              <w:left w:w="85" w:type="dxa"/>
              <w:bottom w:w="85" w:type="dxa"/>
              <w:right w:w="85" w:type="dxa"/>
            </w:tcMar>
          </w:tcPr>
          <w:p>
            <w:pPr>
              <w:spacing w:after="60" w:line="245" w:lineRule="auto"/>
            </w:pPr>
            <w:r>
              <w:rPr>
                <w:sz w:val="18"/>
              </w:rPr>
              <w:t>Owners / dependencies</w:t>
            </w:r>
          </w:p>
        </w:tc>
        <w:tc>
          <w:tcPr>
            <w:tcW w:type="dxa" w:w="7632"/>
            <w:shd w:fill="EFF5F4"/>
            <w:tcMar>
              <w:top w:w="85" w:type="dxa"/>
              <w:left w:w="85" w:type="dxa"/>
              <w:bottom w:w="85" w:type="dxa"/>
              <w:right w:w="85" w:type="dxa"/>
            </w:tcMar>
          </w:tcPr>
          <w:p>
            <w:pPr>
              <w:spacing w:after="60" w:line="245" w:lineRule="auto"/>
            </w:pPr>
            <w:r>
              <w:rPr>
                <w:sz w:val="18"/>
              </w:rPr>
              <w:t>André: exact Chat/Work transition and editable output. George: domain model, gate and persistence. Depends on G04 and the frozen single workflow.</w:t>
            </w:r>
          </w:p>
        </w:tc>
      </w:tr>
      <w:tr>
        <w:trPr>
          <w:cantSplit/>
        </w:trPr>
        <w:tc>
          <w:tcPr>
            <w:tcW w:type="dxa" w:w="2160"/>
            <w:shd w:fill="FFFFFF"/>
            <w:tcMar>
              <w:top w:w="85" w:type="dxa"/>
              <w:left w:w="85" w:type="dxa"/>
              <w:bottom w:w="85" w:type="dxa"/>
              <w:right w:w="85" w:type="dxa"/>
            </w:tcMar>
          </w:tcPr>
          <w:p>
            <w:pPr>
              <w:spacing w:after="60" w:line="245" w:lineRule="auto"/>
            </w:pPr>
            <w:r>
              <w:rPr>
                <w:sz w:val="18"/>
              </w:rPr>
              <w:t>Process / done / gate</w:t>
            </w:r>
          </w:p>
        </w:tc>
        <w:tc>
          <w:tcPr>
            <w:tcW w:type="dxa" w:w="7632"/>
            <w:shd w:fill="FFFFFF"/>
            <w:tcMar>
              <w:top w:w="85" w:type="dxa"/>
              <w:left w:w="85" w:type="dxa"/>
              <w:bottom w:w="85" w:type="dxa"/>
              <w:right w:w="85" w:type="dxa"/>
            </w:tcMar>
          </w:tcPr>
          <w:p>
            <w:pPr>
              <w:spacing w:after="60" w:line="245" w:lineRule="auto"/>
            </w:pPr>
            <w:r>
              <w:rPr>
                <w:sz w:val="18"/>
              </w:rPr>
              <w:t>Review the cumulative Home → Chat → Work journey, including two-user task/artefact access tests. Common DoD and persistence/gate evidence earn v0.05.</w:t>
            </w:r>
          </w:p>
        </w:tc>
      </w:tr>
      <w:tr>
        <w:trPr>
          <w:cantSplit/>
        </w:trPr>
        <w:tc>
          <w:tcPr>
            <w:tcW w:type="dxa" w:w="2160"/>
            <w:shd w:fill="EFF5F4"/>
            <w:tcMar>
              <w:top w:w="85" w:type="dxa"/>
              <w:left w:w="85" w:type="dxa"/>
              <w:bottom w:w="85" w:type="dxa"/>
              <w:right w:w="85" w:type="dxa"/>
            </w:tcMar>
          </w:tcPr>
          <w:p>
            <w:pPr>
              <w:spacing w:after="60" w:line="245" w:lineRule="auto"/>
            </w:pPr>
            <w:r>
              <w:rPr>
                <w:sz w:val="18"/>
              </w:rPr>
              <w:t>Explicitly out of scope</w:t>
            </w:r>
          </w:p>
        </w:tc>
        <w:tc>
          <w:tcPr>
            <w:tcW w:type="dxa" w:w="7632"/>
            <w:shd w:fill="EFF5F4"/>
            <w:tcMar>
              <w:top w:w="85" w:type="dxa"/>
              <w:left w:w="85" w:type="dxa"/>
              <w:bottom w:w="85" w:type="dxa"/>
              <w:right w:w="85" w:type="dxa"/>
            </w:tcMar>
          </w:tcPr>
          <w:p>
            <w:pPr>
              <w:spacing w:after="60" w:line="245" w:lineRule="auto"/>
            </w:pPr>
            <w:r>
              <w:rPr>
                <w:sz w:val="18"/>
              </w:rPr>
              <w:t>Kanban breadth, multiple work specialisations, collaboration, email/calendar writes and presenting a simulated task as real runtime execution.</w:t>
            </w:r>
          </w:p>
        </w:tc>
      </w:tr>
    </w:tbl>
    <w:p/>
    <w:p>
      <w:r>
        <w:t>Release rule: all prior accepted behaviour remains in force. Any scope variation requires a recorded decision and updated tests before gate approval. The common definition of done in section 3 applies in full.</w:t>
      </w:r>
    </w:p>
    <w:p>
      <w:r>
        <w:br w:type="page"/>
      </w:r>
    </w:p>
    <w:p>
      <w:pPr>
        <w:pStyle w:val="Subtitle"/>
      </w:pPr>
      <w:r>
        <w:t>12 • INCREMENT CONTRACT</w:t>
      </w:r>
    </w:p>
    <w:p>
      <w:pPr>
        <w:pStyle w:val="Heading1"/>
      </w:pPr>
      <w:r>
        <w:t>V0.06 | Real runtime workflow and adapter proof</w:t>
      </w:r>
    </w:p>
    <w:p>
      <w:r>
        <w:t>23–24 September • G06 on 24 September</w:t>
      </w:r>
    </w:p>
    <w:p>
      <w:pPr>
        <w:pStyle w:val="Heading2"/>
      </w:pPr>
      <w:r>
        <w:t>Proof objective</w:t>
      </w:r>
    </w:p>
    <w:p>
      <w:r>
        <w:t>Prove one bounded specialist/tool workflow end to end on a real backend.</w:t>
      </w:r>
    </w:p>
    <w:tbl>
      <w:tblPr>
        <w:tblW w:type="auto" w:w="0"/>
        <w:tblLayout w:type="fixed"/>
        <w:tblLook w:firstColumn="1" w:firstRow="1" w:lastColumn="0" w:lastRow="0" w:noHBand="0" w:noVBand="1" w:val="04A0"/>
      </w:tblPr>
      <w:tblGrid>
        <w:gridCol w:w="2160"/>
        <w:gridCol w:w="7632"/>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Contract dimension</w:t>
            </w:r>
          </w:p>
        </w:tc>
        <w:tc>
          <w:tcPr>
            <w:tcW w:type="dxa" w:w="4917"/>
            <w:shd w:fill="163C43"/>
            <w:tcMar>
              <w:top w:w="85" w:type="dxa"/>
              <w:left w:w="85" w:type="dxa"/>
              <w:bottom w:w="85" w:type="dxa"/>
              <w:right w:w="85" w:type="dxa"/>
            </w:tcMar>
          </w:tcPr>
          <w:p>
            <w:pPr>
              <w:spacing w:after="60" w:line="245" w:lineRule="auto"/>
            </w:pPr>
            <w:r>
              <w:rPr>
                <w:b/>
                <w:color w:val="FFFFFF"/>
                <w:sz w:val="18"/>
              </w:rPr>
              <w:t>Cumulative requirement</w:t>
            </w:r>
          </w:p>
        </w:tc>
      </w:tr>
      <w:tr>
        <w:trPr>
          <w:cantSplit/>
        </w:trPr>
        <w:tc>
          <w:tcPr>
            <w:tcW w:type="dxa" w:w="2160"/>
            <w:shd w:fill="EFF5F4"/>
            <w:tcMar>
              <w:top w:w="85" w:type="dxa"/>
              <w:left w:w="85" w:type="dxa"/>
              <w:bottom w:w="85" w:type="dxa"/>
              <w:right w:w="85" w:type="dxa"/>
            </w:tcMar>
          </w:tcPr>
          <w:p>
            <w:pPr>
              <w:spacing w:after="60" w:line="245" w:lineRule="auto"/>
            </w:pPr>
            <w:r>
              <w:rPr>
                <w:sz w:val="18"/>
              </w:rPr>
              <w:t>Product / UX</w:t>
            </w:r>
          </w:p>
        </w:tc>
        <w:tc>
          <w:tcPr>
            <w:tcW w:type="dxa" w:w="7632"/>
            <w:shd w:fill="EFF5F4"/>
            <w:tcMar>
              <w:top w:w="85" w:type="dxa"/>
              <w:left w:w="85" w:type="dxa"/>
              <w:bottom w:w="85" w:type="dxa"/>
              <w:right w:w="85" w:type="dxa"/>
            </w:tcMar>
          </w:tcPr>
          <w:p>
            <w:pPr>
              <w:spacing w:after="60" w:line="245" w:lineRule="auto"/>
            </w:pPr>
            <w:r>
              <w:rPr>
                <w:sz w:val="18"/>
              </w:rPr>
              <w:t>Selected workflow creates a useful meeting plan/brief and next actions from user-supplied content. Show plain-language progress, partial failure, stop and retry; preserve completed artefact drafts.</w:t>
            </w:r>
          </w:p>
        </w:tc>
      </w:tr>
      <w:tr>
        <w:trPr>
          <w:cantSplit/>
        </w:trPr>
        <w:tc>
          <w:tcPr>
            <w:tcW w:type="dxa" w:w="2160"/>
            <w:shd w:fill="FFFFFF"/>
            <w:tcMar>
              <w:top w:w="85" w:type="dxa"/>
              <w:left w:w="85" w:type="dxa"/>
              <w:bottom w:w="85" w:type="dxa"/>
              <w:right w:w="85" w:type="dxa"/>
            </w:tcMar>
          </w:tcPr>
          <w:p>
            <w:pPr>
              <w:spacing w:after="60" w:line="245" w:lineRule="auto"/>
            </w:pPr>
            <w:r>
              <w:rPr>
                <w:sz w:val="18"/>
              </w:rPr>
              <w:t>Technical / runtime</w:t>
            </w:r>
          </w:p>
        </w:tc>
        <w:tc>
          <w:tcPr>
            <w:tcW w:type="dxa" w:w="7632"/>
            <w:shd w:fill="FFFFFF"/>
            <w:tcMar>
              <w:top w:w="85" w:type="dxa"/>
              <w:left w:w="85" w:type="dxa"/>
              <w:bottom w:w="85" w:type="dxa"/>
              <w:right w:w="85" w:type="dxa"/>
            </w:tcMar>
          </w:tcPr>
          <w:p>
            <w:pPr>
              <w:spacing w:after="60" w:line="245" w:lineRule="auto"/>
            </w:pPr>
            <w:r>
              <w:rPr>
                <w:sz w:val="18"/>
              </w:rPr>
              <w:t>Pin and integrate FlowState behind SupportRuntime; reconcile runtime/package version and confirm usage rights. Compare direct-provider implementation using the same input/output contract. Mock remains tests-only.</w:t>
            </w:r>
          </w:p>
        </w:tc>
      </w:tr>
      <w:tr>
        <w:trPr>
          <w:cantSplit/>
        </w:trPr>
        <w:tc>
          <w:tcPr>
            <w:tcW w:type="dxa" w:w="2160"/>
            <w:shd w:fill="EFF5F4"/>
            <w:tcMar>
              <w:top w:w="85" w:type="dxa"/>
              <w:left w:w="85" w:type="dxa"/>
              <w:bottom w:w="85" w:type="dxa"/>
              <w:right w:w="85" w:type="dxa"/>
            </w:tcMar>
          </w:tcPr>
          <w:p>
            <w:pPr>
              <w:spacing w:after="60" w:line="245" w:lineRule="auto"/>
            </w:pPr>
            <w:r>
              <w:rPr>
                <w:sz w:val="18"/>
              </w:rPr>
              <w:t>Data / state</w:t>
            </w:r>
          </w:p>
        </w:tc>
        <w:tc>
          <w:tcPr>
            <w:tcW w:type="dxa" w:w="7632"/>
            <w:shd w:fill="EFF5F4"/>
            <w:tcMar>
              <w:top w:w="85" w:type="dxa"/>
              <w:left w:w="85" w:type="dxa"/>
              <w:bottom w:w="85" w:type="dxa"/>
              <w:right w:w="85" w:type="dxa"/>
            </w:tcMar>
          </w:tcPr>
          <w:p>
            <w:pPr>
              <w:spacing w:after="60" w:line="245" w:lineRule="auto"/>
            </w:pPr>
            <w:r>
              <w:rPr>
                <w:sz w:val="18"/>
              </w:rPr>
              <w:t>Persist runtime-session mapping, run attempts, event sequence, tool/agent and gate records, artefact refs, model/version and measured usage.</w:t>
            </w:r>
          </w:p>
        </w:tc>
      </w:tr>
      <w:tr>
        <w:trPr>
          <w:cantSplit/>
        </w:trPr>
        <w:tc>
          <w:tcPr>
            <w:tcW w:type="dxa" w:w="2160"/>
            <w:shd w:fill="FFFFFF"/>
            <w:tcMar>
              <w:top w:w="85" w:type="dxa"/>
              <w:left w:w="85" w:type="dxa"/>
              <w:bottom w:w="85" w:type="dxa"/>
              <w:right w:w="85" w:type="dxa"/>
            </w:tcMar>
          </w:tcPr>
          <w:p>
            <w:pPr>
              <w:spacing w:after="60" w:line="245" w:lineRule="auto"/>
            </w:pPr>
            <w:r>
              <w:rPr>
                <w:sz w:val="18"/>
              </w:rPr>
              <w:t>Testing / acceptance</w:t>
            </w:r>
          </w:p>
        </w:tc>
        <w:tc>
          <w:tcPr>
            <w:tcW w:type="dxa" w:w="7632"/>
            <w:shd w:fill="FFFFFF"/>
            <w:tcMar>
              <w:top w:w="85" w:type="dxa"/>
              <w:left w:w="85" w:type="dxa"/>
              <w:bottom w:w="85" w:type="dxa"/>
              <w:right w:w="85" w:type="dxa"/>
            </w:tcMar>
          </w:tcPr>
          <w:p>
            <w:pPr>
              <w:spacing w:after="60" w:line="245" w:lineRule="auto"/>
            </w:pPr>
            <w:r>
              <w:rPr>
                <w:sz w:val="18"/>
              </w:rPr>
              <w:t>Ten synthetic scenario runs produce authorised, schema-valid artefacts with no duplicate writes. Trace one real specialist/tool execution. Inject timeout, tool failure and cancel. Switching configured adapters requires no UI/domain schema change.</w:t>
            </w:r>
          </w:p>
        </w:tc>
      </w:tr>
      <w:tr>
        <w:trPr>
          <w:cantSplit/>
        </w:trPr>
        <w:tc>
          <w:tcPr>
            <w:tcW w:type="dxa" w:w="2160"/>
            <w:shd w:fill="EFF5F4"/>
            <w:tcMar>
              <w:top w:w="85" w:type="dxa"/>
              <w:left w:w="85" w:type="dxa"/>
              <w:bottom w:w="85" w:type="dxa"/>
              <w:right w:w="85" w:type="dxa"/>
            </w:tcMar>
          </w:tcPr>
          <w:p>
            <w:pPr>
              <w:spacing w:after="60" w:line="245" w:lineRule="auto"/>
            </w:pPr>
            <w:r>
              <w:rPr>
                <w:sz w:val="18"/>
              </w:rPr>
              <w:t>Owners / dependencies</w:t>
            </w:r>
          </w:p>
        </w:tc>
        <w:tc>
          <w:tcPr>
            <w:tcW w:type="dxa" w:w="7632"/>
            <w:shd w:fill="EFF5F4"/>
            <w:tcMar>
              <w:top w:w="85" w:type="dxa"/>
              <w:left w:w="85" w:type="dxa"/>
              <w:bottom w:w="85" w:type="dxa"/>
              <w:right w:w="85" w:type="dxa"/>
            </w:tcMar>
          </w:tcPr>
          <w:p>
            <w:pPr>
              <w:spacing w:after="60" w:line="245" w:lineRule="auto"/>
            </w:pPr>
            <w:r>
              <w:rPr>
                <w:sz w:val="18"/>
              </w:rPr>
              <w:t>George: integration and benchmark; André: utility rubric. Joint runtime decision. Depends on G05, pinned runtime, credentials, licence/access and deployment readiness.</w:t>
            </w:r>
          </w:p>
        </w:tc>
      </w:tr>
      <w:tr>
        <w:trPr>
          <w:cantSplit/>
        </w:trPr>
        <w:tc>
          <w:tcPr>
            <w:tcW w:type="dxa" w:w="2160"/>
            <w:shd w:fill="FFFFFF"/>
            <w:tcMar>
              <w:top w:w="85" w:type="dxa"/>
              <w:left w:w="85" w:type="dxa"/>
              <w:bottom w:w="85" w:type="dxa"/>
              <w:right w:w="85" w:type="dxa"/>
            </w:tcMar>
          </w:tcPr>
          <w:p>
            <w:pPr>
              <w:spacing w:after="60" w:line="245" w:lineRule="auto"/>
            </w:pPr>
            <w:r>
              <w:rPr>
                <w:sz w:val="18"/>
              </w:rPr>
              <w:t>Process / done / gate</w:t>
            </w:r>
          </w:p>
        </w:tc>
        <w:tc>
          <w:tcPr>
            <w:tcW w:type="dxa" w:w="7632"/>
            <w:shd w:fill="FFFFFF"/>
            <w:tcMar>
              <w:top w:w="85" w:type="dxa"/>
              <w:left w:w="85" w:type="dxa"/>
              <w:bottom w:w="85" w:type="dxa"/>
              <w:right w:w="85" w:type="dxa"/>
            </w:tcMar>
          </w:tcPr>
          <w:p>
            <w:pPr>
              <w:spacing w:after="60" w:line="245" w:lineRule="auto"/>
            </w:pPr>
            <w:r>
              <w:rPr>
                <w:sz w:val="18"/>
              </w:rPr>
              <w:t>Record real execution evidence, cost/latency and contract results in ADR-V01-003. If FlowState misses the gate, explicitly approve a qualifying direct-provider substitute or retain NO-GO. Common DoD earns v0.06.</w:t>
            </w:r>
          </w:p>
        </w:tc>
      </w:tr>
      <w:tr>
        <w:trPr>
          <w:cantSplit/>
        </w:trPr>
        <w:tc>
          <w:tcPr>
            <w:tcW w:type="dxa" w:w="2160"/>
            <w:shd w:fill="EFF5F4"/>
            <w:tcMar>
              <w:top w:w="85" w:type="dxa"/>
              <w:left w:w="85" w:type="dxa"/>
              <w:bottom w:w="85" w:type="dxa"/>
              <w:right w:w="85" w:type="dxa"/>
            </w:tcMar>
          </w:tcPr>
          <w:p>
            <w:pPr>
              <w:spacing w:after="60" w:line="245" w:lineRule="auto"/>
            </w:pPr>
            <w:r>
              <w:rPr>
                <w:sz w:val="18"/>
              </w:rPr>
              <w:t>Explicitly out of scope</w:t>
            </w:r>
          </w:p>
        </w:tc>
        <w:tc>
          <w:tcPr>
            <w:tcW w:type="dxa" w:w="7632"/>
            <w:shd w:fill="EFF5F4"/>
            <w:tcMar>
              <w:top w:w="85" w:type="dxa"/>
              <w:left w:w="85" w:type="dxa"/>
              <w:bottom w:w="85" w:type="dxa"/>
              <w:right w:w="85" w:type="dxa"/>
            </w:tcMar>
          </w:tcPr>
          <w:p>
            <w:pPr>
              <w:spacing w:after="60" w:line="245" w:lineRule="auto"/>
            </w:pPr>
            <w:r>
              <w:rPr>
                <w:sz w:val="18"/>
              </w:rPr>
              <w:t>Swarm UI, arbitrary tools, independent external browsing, provider-specific product models, new custom runtime and Chris’s optional API unless already qualified.</w:t>
            </w:r>
          </w:p>
        </w:tc>
      </w:tr>
    </w:tbl>
    <w:p/>
    <w:p>
      <w:r>
        <w:t>Release rule: all prior accepted behaviour remains in force. Any scope variation requires a recorded decision and updated tests before gate approval. The common definition of done in section 3 applies in full.</w:t>
      </w:r>
    </w:p>
    <w:p>
      <w:r>
        <w:br w:type="page"/>
      </w:r>
    </w:p>
    <w:p>
      <w:pPr>
        <w:pStyle w:val="Subtitle"/>
      </w:pPr>
      <w:r>
        <w:t>13 • INCREMENT CONTRACT</w:t>
      </w:r>
    </w:p>
    <w:p>
      <w:pPr>
        <w:pStyle w:val="Heading1"/>
      </w:pPr>
      <w:r>
        <w:t>V0.07 | Outcome, learning and better later support</w:t>
      </w:r>
    </w:p>
    <w:p>
      <w:r>
        <w:t>25 September • G07 on 25 September</w:t>
      </w:r>
    </w:p>
    <w:p>
      <w:pPr>
        <w:pStyle w:val="Heading2"/>
      </w:pPr>
      <w:r>
        <w:t>Proof objective</w:t>
      </w:r>
    </w:p>
    <w:p>
      <w:r>
        <w:t>Close the Support Intelligence loop with user-controlled learning.</w:t>
      </w:r>
    </w:p>
    <w:tbl>
      <w:tblPr>
        <w:tblW w:type="auto" w:w="0"/>
        <w:tblLayout w:type="fixed"/>
        <w:tblLook w:firstColumn="1" w:firstRow="1" w:lastColumn="0" w:lastRow="0" w:noHBand="0" w:noVBand="1" w:val="04A0"/>
      </w:tblPr>
      <w:tblGrid>
        <w:gridCol w:w="2160"/>
        <w:gridCol w:w="7632"/>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Contract dimension</w:t>
            </w:r>
          </w:p>
        </w:tc>
        <w:tc>
          <w:tcPr>
            <w:tcW w:type="dxa" w:w="4917"/>
            <w:shd w:fill="163C43"/>
            <w:tcMar>
              <w:top w:w="85" w:type="dxa"/>
              <w:left w:w="85" w:type="dxa"/>
              <w:bottom w:w="85" w:type="dxa"/>
              <w:right w:w="85" w:type="dxa"/>
            </w:tcMar>
          </w:tcPr>
          <w:p>
            <w:pPr>
              <w:spacing w:after="60" w:line="245" w:lineRule="auto"/>
            </w:pPr>
            <w:r>
              <w:rPr>
                <w:b/>
                <w:color w:val="FFFFFF"/>
                <w:sz w:val="18"/>
              </w:rPr>
              <w:t>Cumulative requirement</w:t>
            </w:r>
          </w:p>
        </w:tc>
      </w:tr>
      <w:tr>
        <w:trPr>
          <w:cantSplit/>
        </w:trPr>
        <w:tc>
          <w:tcPr>
            <w:tcW w:type="dxa" w:w="2160"/>
            <w:shd w:fill="EFF5F4"/>
            <w:tcMar>
              <w:top w:w="85" w:type="dxa"/>
              <w:left w:w="85" w:type="dxa"/>
              <w:bottom w:w="85" w:type="dxa"/>
              <w:right w:w="85" w:type="dxa"/>
            </w:tcMar>
          </w:tcPr>
          <w:p>
            <w:pPr>
              <w:spacing w:after="60" w:line="245" w:lineRule="auto"/>
            </w:pPr>
            <w:r>
              <w:rPr>
                <w:sz w:val="18"/>
              </w:rPr>
              <w:t>Product / UX</w:t>
            </w:r>
          </w:p>
        </w:tc>
        <w:tc>
          <w:tcPr>
            <w:tcW w:type="dxa" w:w="7632"/>
            <w:shd w:fill="EFF5F4"/>
            <w:tcMar>
              <w:top w:w="85" w:type="dxa"/>
              <w:left w:w="85" w:type="dxa"/>
              <w:bottom w:w="85" w:type="dxa"/>
              <w:right w:w="85" w:type="dxa"/>
            </w:tcMar>
          </w:tcPr>
          <w:p>
            <w:pPr>
              <w:spacing w:after="60" w:line="245" w:lineRule="auto"/>
            </w:pPr>
            <w:r>
              <w:rPr>
                <w:sz w:val="18"/>
              </w:rPr>
              <w:t>Lightweight completion/helpfulness feedback using canonical Figma pattern; review a plain-language learning proposal with confirm/reject/edit. A later conversation demonstrates the confirmed change.</w:t>
            </w:r>
          </w:p>
        </w:tc>
      </w:tr>
      <w:tr>
        <w:trPr>
          <w:cantSplit/>
        </w:trPr>
        <w:tc>
          <w:tcPr>
            <w:tcW w:type="dxa" w:w="2160"/>
            <w:shd w:fill="FFFFFF"/>
            <w:tcMar>
              <w:top w:w="85" w:type="dxa"/>
              <w:left w:w="85" w:type="dxa"/>
              <w:bottom w:w="85" w:type="dxa"/>
              <w:right w:w="85" w:type="dxa"/>
            </w:tcMar>
          </w:tcPr>
          <w:p>
            <w:pPr>
              <w:spacing w:after="60" w:line="245" w:lineRule="auto"/>
            </w:pPr>
            <w:r>
              <w:rPr>
                <w:sz w:val="18"/>
              </w:rPr>
              <w:t>Technical / runtime</w:t>
            </w:r>
          </w:p>
        </w:tc>
        <w:tc>
          <w:tcPr>
            <w:tcW w:type="dxa" w:w="7632"/>
            <w:shd w:fill="FFFFFF"/>
            <w:tcMar>
              <w:top w:w="85" w:type="dxa"/>
              <w:left w:w="85" w:type="dxa"/>
              <w:bottom w:w="85" w:type="dxa"/>
              <w:right w:w="85" w:type="dxa"/>
            </w:tcMar>
          </w:tcPr>
          <w:p>
            <w:pPr>
              <w:spacing w:after="60" w:line="245" w:lineRule="auto"/>
            </w:pPr>
            <w:r>
              <w:rPr>
                <w:sz w:val="18"/>
              </w:rPr>
              <w:t>Outcome service links intervention and evidence. Runtime proposes an NPR update; product policy validates it and only the authorised user confirms material learning.</w:t>
            </w:r>
          </w:p>
        </w:tc>
      </w:tr>
      <w:tr>
        <w:trPr>
          <w:cantSplit/>
        </w:trPr>
        <w:tc>
          <w:tcPr>
            <w:tcW w:type="dxa" w:w="2160"/>
            <w:shd w:fill="EFF5F4"/>
            <w:tcMar>
              <w:top w:w="85" w:type="dxa"/>
              <w:left w:w="85" w:type="dxa"/>
              <w:bottom w:w="85" w:type="dxa"/>
              <w:right w:w="85" w:type="dxa"/>
            </w:tcMar>
          </w:tcPr>
          <w:p>
            <w:pPr>
              <w:spacing w:after="60" w:line="245" w:lineRule="auto"/>
            </w:pPr>
            <w:r>
              <w:rPr>
                <w:sz w:val="18"/>
              </w:rPr>
              <w:t>Data / state</w:t>
            </w:r>
          </w:p>
        </w:tc>
        <w:tc>
          <w:tcPr>
            <w:tcW w:type="dxa" w:w="7632"/>
            <w:shd w:fill="EFF5F4"/>
            <w:tcMar>
              <w:top w:w="85" w:type="dxa"/>
              <w:left w:w="85" w:type="dxa"/>
              <w:bottom w:w="85" w:type="dxa"/>
              <w:right w:w="85" w:type="dxa"/>
            </w:tcMar>
          </w:tcPr>
          <w:p>
            <w:pPr>
              <w:spacing w:after="60" w:line="245" w:lineRule="auto"/>
            </w:pPr>
            <w:r>
              <w:rPr>
                <w:sz w:val="18"/>
              </w:rPr>
              <w:t>Persist intervention, outcome, evidence reference, proposal version and decision. Update a context item through lifecycle/version rules; never equate one outcome with a universal preference.</w:t>
            </w:r>
          </w:p>
        </w:tc>
      </w:tr>
      <w:tr>
        <w:trPr>
          <w:cantSplit/>
        </w:trPr>
        <w:tc>
          <w:tcPr>
            <w:tcW w:type="dxa" w:w="2160"/>
            <w:shd w:fill="FFFFFF"/>
            <w:tcMar>
              <w:top w:w="85" w:type="dxa"/>
              <w:left w:w="85" w:type="dxa"/>
              <w:bottom w:w="85" w:type="dxa"/>
              <w:right w:w="85" w:type="dxa"/>
            </w:tcMar>
          </w:tcPr>
          <w:p>
            <w:pPr>
              <w:spacing w:after="60" w:line="245" w:lineRule="auto"/>
            </w:pPr>
            <w:r>
              <w:rPr>
                <w:sz w:val="18"/>
              </w:rPr>
              <w:t>Testing / acceptance</w:t>
            </w:r>
          </w:p>
        </w:tc>
        <w:tc>
          <w:tcPr>
            <w:tcW w:type="dxa" w:w="7632"/>
            <w:shd w:fill="FFFFFF"/>
            <w:tcMar>
              <w:top w:w="85" w:type="dxa"/>
              <w:left w:w="85" w:type="dxa"/>
              <w:bottom w:w="85" w:type="dxa"/>
              <w:right w:w="85" w:type="dxa"/>
            </w:tcMar>
          </w:tcPr>
          <w:p>
            <w:pPr>
              <w:spacing w:after="60" w:line="245" w:lineRule="auto"/>
            </w:pPr>
            <w:r>
              <w:rPr>
                <w:sz w:val="18"/>
              </w:rPr>
              <w:t>Golden journey runs across separate sessions: act → outcome → proposal → confirm → later adaptation. Reject leaves context unchanged; editing is honoured; contradictory or unsupported proposals do not silently overwrite existing context.</w:t>
            </w:r>
          </w:p>
        </w:tc>
      </w:tr>
      <w:tr>
        <w:trPr>
          <w:cantSplit/>
        </w:trPr>
        <w:tc>
          <w:tcPr>
            <w:tcW w:type="dxa" w:w="2160"/>
            <w:shd w:fill="EFF5F4"/>
            <w:tcMar>
              <w:top w:w="85" w:type="dxa"/>
              <w:left w:w="85" w:type="dxa"/>
              <w:bottom w:w="85" w:type="dxa"/>
              <w:right w:w="85" w:type="dxa"/>
            </w:tcMar>
          </w:tcPr>
          <w:p>
            <w:pPr>
              <w:spacing w:after="60" w:line="245" w:lineRule="auto"/>
            </w:pPr>
            <w:r>
              <w:rPr>
                <w:sz w:val="18"/>
              </w:rPr>
              <w:t>Owners / dependencies</w:t>
            </w:r>
          </w:p>
        </w:tc>
        <w:tc>
          <w:tcPr>
            <w:tcW w:type="dxa" w:w="7632"/>
            <w:shd w:fill="EFF5F4"/>
            <w:tcMar>
              <w:top w:w="85" w:type="dxa"/>
              <w:left w:w="85" w:type="dxa"/>
              <w:bottom w:w="85" w:type="dxa"/>
              <w:right w:w="85" w:type="dxa"/>
            </w:tcMar>
          </w:tcPr>
          <w:p>
            <w:pPr>
              <w:spacing w:after="60" w:line="245" w:lineRule="auto"/>
            </w:pPr>
            <w:r>
              <w:rPr>
                <w:sz w:val="18"/>
              </w:rPr>
              <w:t>André: feedback, proposal copy and utility assessment. George: linked state and lifecycle. Depends on G06 and outcome/proposal frames prepared by 24 September.</w:t>
            </w:r>
          </w:p>
        </w:tc>
      </w:tr>
      <w:tr>
        <w:trPr>
          <w:cantSplit/>
        </w:trPr>
        <w:tc>
          <w:tcPr>
            <w:tcW w:type="dxa" w:w="2160"/>
            <w:shd w:fill="FFFFFF"/>
            <w:tcMar>
              <w:top w:w="85" w:type="dxa"/>
              <w:left w:w="85" w:type="dxa"/>
              <w:bottom w:w="85" w:type="dxa"/>
              <w:right w:w="85" w:type="dxa"/>
            </w:tcMar>
          </w:tcPr>
          <w:p>
            <w:pPr>
              <w:spacing w:after="60" w:line="245" w:lineRule="auto"/>
            </w:pPr>
            <w:r>
              <w:rPr>
                <w:sz w:val="18"/>
              </w:rPr>
              <w:t>Process / done / gate</w:t>
            </w:r>
          </w:p>
        </w:tc>
        <w:tc>
          <w:tcPr>
            <w:tcW w:type="dxa" w:w="7632"/>
            <w:shd w:fill="FFFFFF"/>
            <w:tcMar>
              <w:top w:w="85" w:type="dxa"/>
              <w:left w:w="85" w:type="dxa"/>
              <w:bottom w:w="85" w:type="dxa"/>
              <w:right w:w="85" w:type="dxa"/>
            </w:tcMar>
          </w:tcPr>
          <w:p>
            <w:pPr>
              <w:spacing w:after="60" w:line="245" w:lineRule="auto"/>
            </w:pPr>
            <w:r>
              <w:rPr>
                <w:sz w:val="18"/>
              </w:rPr>
              <w:t>Use matched context-enabled/disabled examples and record both owners’ scores. Common DoD plus traced later-use and reject-path evidence earns v0.07; feature scope freezes here.</w:t>
            </w:r>
          </w:p>
        </w:tc>
      </w:tr>
      <w:tr>
        <w:trPr>
          <w:cantSplit/>
        </w:trPr>
        <w:tc>
          <w:tcPr>
            <w:tcW w:type="dxa" w:w="2160"/>
            <w:shd w:fill="EFF5F4"/>
            <w:tcMar>
              <w:top w:w="85" w:type="dxa"/>
              <w:left w:w="85" w:type="dxa"/>
              <w:bottom w:w="85" w:type="dxa"/>
              <w:right w:w="85" w:type="dxa"/>
            </w:tcMar>
          </w:tcPr>
          <w:p>
            <w:pPr>
              <w:spacing w:after="60" w:line="245" w:lineRule="auto"/>
            </w:pPr>
            <w:r>
              <w:rPr>
                <w:sz w:val="18"/>
              </w:rPr>
              <w:t>Explicitly out of scope</w:t>
            </w:r>
          </w:p>
        </w:tc>
        <w:tc>
          <w:tcPr>
            <w:tcW w:type="dxa" w:w="7632"/>
            <w:shd w:fill="EFF5F4"/>
            <w:tcMar>
              <w:top w:w="85" w:type="dxa"/>
              <w:left w:w="85" w:type="dxa"/>
              <w:bottom w:w="85" w:type="dxa"/>
              <w:right w:w="85" w:type="dxa"/>
            </w:tcMar>
          </w:tcPr>
          <w:p>
            <w:pPr>
              <w:spacing w:after="60" w:line="245" w:lineRule="auto"/>
            </w:pPr>
            <w:r>
              <w:rPr>
                <w:sz w:val="18"/>
              </w:rPr>
              <w:t>Automatic high-confidence profiling, complex learning models, broad analytics, passive surveillance, claims of scientific validation from a small test set.</w:t>
            </w:r>
          </w:p>
        </w:tc>
      </w:tr>
    </w:tbl>
    <w:p/>
    <w:p>
      <w:r>
        <w:t>Release rule: all prior accepted behaviour remains in force. Any scope variation requires a recorded decision and updated tests before gate approval. The common definition of done in section 3 applies in full.</w:t>
      </w:r>
    </w:p>
    <w:p>
      <w:r>
        <w:br w:type="page"/>
      </w:r>
    </w:p>
    <w:p>
      <w:pPr>
        <w:pStyle w:val="Subtitle"/>
      </w:pPr>
      <w:r>
        <w:t>14 • INCREMENT CONTRACT</w:t>
      </w:r>
    </w:p>
    <w:p>
      <w:pPr>
        <w:pStyle w:val="Heading1"/>
      </w:pPr>
      <w:r>
        <w:t>V0.08 | Lifecycle, resilience and accessible use</w:t>
      </w:r>
    </w:p>
    <w:p>
      <w:r>
        <w:t>28–29 September • G08 on 29 September</w:t>
      </w:r>
    </w:p>
    <w:p>
      <w:pPr>
        <w:pStyle w:val="Heading2"/>
      </w:pPr>
      <w:r>
        <w:t>Proof objective</w:t>
      </w:r>
    </w:p>
    <w:p>
      <w:r>
        <w:t>Make the complete loop safe enough for invited people to use.</w:t>
      </w:r>
    </w:p>
    <w:tbl>
      <w:tblPr>
        <w:tblW w:type="auto" w:w="0"/>
        <w:tblLayout w:type="fixed"/>
        <w:tblLook w:firstColumn="1" w:firstRow="1" w:lastColumn="0" w:lastRow="0" w:noHBand="0" w:noVBand="1" w:val="04A0"/>
      </w:tblPr>
      <w:tblGrid>
        <w:gridCol w:w="2160"/>
        <w:gridCol w:w="7632"/>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Contract dimension</w:t>
            </w:r>
          </w:p>
        </w:tc>
        <w:tc>
          <w:tcPr>
            <w:tcW w:type="dxa" w:w="4917"/>
            <w:shd w:fill="163C43"/>
            <w:tcMar>
              <w:top w:w="85" w:type="dxa"/>
              <w:left w:w="85" w:type="dxa"/>
              <w:bottom w:w="85" w:type="dxa"/>
              <w:right w:w="85" w:type="dxa"/>
            </w:tcMar>
          </w:tcPr>
          <w:p>
            <w:pPr>
              <w:spacing w:after="60" w:line="245" w:lineRule="auto"/>
            </w:pPr>
            <w:r>
              <w:rPr>
                <w:b/>
                <w:color w:val="FFFFFF"/>
                <w:sz w:val="18"/>
              </w:rPr>
              <w:t>Cumulative requirement</w:t>
            </w:r>
          </w:p>
        </w:tc>
      </w:tr>
      <w:tr>
        <w:trPr>
          <w:cantSplit/>
        </w:trPr>
        <w:tc>
          <w:tcPr>
            <w:tcW w:type="dxa" w:w="2160"/>
            <w:shd w:fill="EFF5F4"/>
            <w:tcMar>
              <w:top w:w="85" w:type="dxa"/>
              <w:left w:w="85" w:type="dxa"/>
              <w:bottom w:w="85" w:type="dxa"/>
              <w:right w:w="85" w:type="dxa"/>
            </w:tcMar>
          </w:tcPr>
          <w:p>
            <w:pPr>
              <w:spacing w:after="60" w:line="245" w:lineRule="auto"/>
            </w:pPr>
            <w:r>
              <w:rPr>
                <w:sz w:val="18"/>
              </w:rPr>
              <w:t>Product / UX</w:t>
            </w:r>
          </w:p>
        </w:tc>
        <w:tc>
          <w:tcPr>
            <w:tcW w:type="dxa" w:w="7632"/>
            <w:shd w:fill="EFF5F4"/>
            <w:tcMar>
              <w:top w:w="85" w:type="dxa"/>
              <w:left w:w="85" w:type="dxa"/>
              <w:bottom w:w="85" w:type="dxa"/>
              <w:right w:w="85" w:type="dxa"/>
            </w:tcMar>
          </w:tcPr>
          <w:p>
            <w:pPr>
              <w:spacing w:after="60" w:line="245" w:lineRule="auto"/>
            </w:pPr>
            <w:r>
              <w:rPr>
                <w:sz w:val="18"/>
              </w:rPr>
              <w:t>Export/delete progress, clear degraded-service and reconnect states, keyboard and mobile completion, reduced motion and visible focus. Provide support and privacy entry points.</w:t>
            </w:r>
          </w:p>
        </w:tc>
      </w:tr>
      <w:tr>
        <w:trPr>
          <w:cantSplit/>
        </w:trPr>
        <w:tc>
          <w:tcPr>
            <w:tcW w:type="dxa" w:w="2160"/>
            <w:shd w:fill="FFFFFF"/>
            <w:tcMar>
              <w:top w:w="85" w:type="dxa"/>
              <w:left w:w="85" w:type="dxa"/>
              <w:bottom w:w="85" w:type="dxa"/>
              <w:right w:w="85" w:type="dxa"/>
            </w:tcMar>
          </w:tcPr>
          <w:p>
            <w:pPr>
              <w:spacing w:after="60" w:line="245" w:lineRule="auto"/>
            </w:pPr>
            <w:r>
              <w:rPr>
                <w:sz w:val="18"/>
              </w:rPr>
              <w:t>Technical / runtime</w:t>
            </w:r>
          </w:p>
        </w:tc>
        <w:tc>
          <w:tcPr>
            <w:tcW w:type="dxa" w:w="7632"/>
            <w:shd w:fill="FFFFFF"/>
            <w:tcMar>
              <w:top w:w="85" w:type="dxa"/>
              <w:left w:w="85" w:type="dxa"/>
              <w:bottom w:w="85" w:type="dxa"/>
              <w:right w:w="85" w:type="dxa"/>
            </w:tcMar>
          </w:tcPr>
          <w:p>
            <w:pPr>
              <w:spacing w:after="60" w:line="245" w:lineRule="auto"/>
            </w:pPr>
            <w:r>
              <w:rPr>
                <w:sz w:val="18"/>
              </w:rPr>
              <w:t>Complete deletion propagation, rate/budget limits, safe logs, dependency/secrets checks, security headers and fault recovery. AIMS-lite enforcement remains active for every adapter.</w:t>
            </w:r>
          </w:p>
        </w:tc>
      </w:tr>
      <w:tr>
        <w:trPr>
          <w:cantSplit/>
        </w:trPr>
        <w:tc>
          <w:tcPr>
            <w:tcW w:type="dxa" w:w="2160"/>
            <w:shd w:fill="EFF5F4"/>
            <w:tcMar>
              <w:top w:w="85" w:type="dxa"/>
              <w:left w:w="85" w:type="dxa"/>
              <w:bottom w:w="85" w:type="dxa"/>
              <w:right w:w="85" w:type="dxa"/>
            </w:tcMar>
          </w:tcPr>
          <w:p>
            <w:pPr>
              <w:spacing w:after="60" w:line="245" w:lineRule="auto"/>
            </w:pPr>
            <w:r>
              <w:rPr>
                <w:sz w:val="18"/>
              </w:rPr>
              <w:t>Data / state</w:t>
            </w:r>
          </w:p>
        </w:tc>
        <w:tc>
          <w:tcPr>
            <w:tcW w:type="dxa" w:w="7632"/>
            <w:shd w:fill="EFF5F4"/>
            <w:tcMar>
              <w:top w:w="85" w:type="dxa"/>
              <w:left w:w="85" w:type="dxa"/>
              <w:bottom w:w="85" w:type="dxa"/>
              <w:right w:w="85" w:type="dxa"/>
            </w:tcMar>
          </w:tcPr>
          <w:p>
            <w:pPr>
              <w:spacing w:after="60" w:line="245" w:lineRule="auto"/>
            </w:pPr>
            <w:r>
              <w:rPr>
                <w:sz w:val="18"/>
              </w:rPr>
              <w:t>Deletion/export jobs, purge receipts, backup policy and audit retention; reconcile orphaned/late runs. Invalidate deleted or restricted context before a new run.</w:t>
            </w:r>
          </w:p>
        </w:tc>
      </w:tr>
      <w:tr>
        <w:trPr>
          <w:cantSplit/>
        </w:trPr>
        <w:tc>
          <w:tcPr>
            <w:tcW w:type="dxa" w:w="2160"/>
            <w:shd w:fill="FFFFFF"/>
            <w:tcMar>
              <w:top w:w="85" w:type="dxa"/>
              <w:left w:w="85" w:type="dxa"/>
              <w:bottom w:w="85" w:type="dxa"/>
              <w:right w:w="85" w:type="dxa"/>
            </w:tcMar>
          </w:tcPr>
          <w:p>
            <w:pPr>
              <w:spacing w:after="60" w:line="245" w:lineRule="auto"/>
            </w:pPr>
            <w:r>
              <w:rPr>
                <w:sz w:val="18"/>
              </w:rPr>
              <w:t>Testing / acceptance</w:t>
            </w:r>
          </w:p>
        </w:tc>
        <w:tc>
          <w:tcPr>
            <w:tcW w:type="dxa" w:w="7632"/>
            <w:shd w:fill="FFFFFF"/>
            <w:tcMar>
              <w:top w:w="85" w:type="dxa"/>
              <w:left w:w="85" w:type="dxa"/>
              <w:bottom w:w="85" w:type="dxa"/>
              <w:right w:w="85" w:type="dxa"/>
            </w:tcMar>
          </w:tcPr>
          <w:p>
            <w:pPr>
              <w:spacing w:after="60" w:line="245" w:lineRule="auto"/>
            </w:pPr>
            <w:r>
              <w:rPr>
                <w:sz w:val="18"/>
              </w:rPr>
              <w:t>End-to-end cross-user tests cover every domain; exported data belongs only to requester. Deletion passes primary/derived/runtime checks; next run excludes removed data. Keyboard, screen-reader sample, 390px layout and critical fault suite pass.</w:t>
            </w:r>
          </w:p>
        </w:tc>
      </w:tr>
      <w:tr>
        <w:trPr>
          <w:cantSplit/>
        </w:trPr>
        <w:tc>
          <w:tcPr>
            <w:tcW w:type="dxa" w:w="2160"/>
            <w:shd w:fill="EFF5F4"/>
            <w:tcMar>
              <w:top w:w="85" w:type="dxa"/>
              <w:left w:w="85" w:type="dxa"/>
              <w:bottom w:w="85" w:type="dxa"/>
              <w:right w:w="85" w:type="dxa"/>
            </w:tcMar>
          </w:tcPr>
          <w:p>
            <w:pPr>
              <w:spacing w:after="60" w:line="245" w:lineRule="auto"/>
            </w:pPr>
            <w:r>
              <w:rPr>
                <w:sz w:val="18"/>
              </w:rPr>
              <w:t>Owners / dependencies</w:t>
            </w:r>
          </w:p>
        </w:tc>
        <w:tc>
          <w:tcPr>
            <w:tcW w:type="dxa" w:w="7632"/>
            <w:shd w:fill="EFF5F4"/>
            <w:tcMar>
              <w:top w:w="85" w:type="dxa"/>
              <w:left w:w="85" w:type="dxa"/>
              <w:bottom w:w="85" w:type="dxa"/>
              <w:right w:w="85" w:type="dxa"/>
            </w:tcMar>
          </w:tcPr>
          <w:p>
            <w:pPr>
              <w:spacing w:after="60" w:line="245" w:lineRule="auto"/>
            </w:pPr>
            <w:r>
              <w:rPr>
                <w:sz w:val="18"/>
              </w:rPr>
              <w:t>George: engineering/security evidence; André: accessibility/privacy review and copy. Joint adoption of retention/provider terms. Depends on G07 and actual platform settings.</w:t>
            </w:r>
          </w:p>
        </w:tc>
      </w:tr>
      <w:tr>
        <w:trPr>
          <w:cantSplit/>
        </w:trPr>
        <w:tc>
          <w:tcPr>
            <w:tcW w:type="dxa" w:w="2160"/>
            <w:shd w:fill="FFFFFF"/>
            <w:tcMar>
              <w:top w:w="85" w:type="dxa"/>
              <w:left w:w="85" w:type="dxa"/>
              <w:bottom w:w="85" w:type="dxa"/>
              <w:right w:w="85" w:type="dxa"/>
            </w:tcMar>
          </w:tcPr>
          <w:p>
            <w:pPr>
              <w:spacing w:after="60" w:line="245" w:lineRule="auto"/>
            </w:pPr>
            <w:r>
              <w:rPr>
                <w:sz w:val="18"/>
              </w:rPr>
              <w:t>Process / done / gate</w:t>
            </w:r>
          </w:p>
        </w:tc>
        <w:tc>
          <w:tcPr>
            <w:tcW w:type="dxa" w:w="7632"/>
            <w:shd w:fill="FFFFFF"/>
            <w:tcMar>
              <w:top w:w="85" w:type="dxa"/>
              <w:left w:w="85" w:type="dxa"/>
              <w:bottom w:w="85" w:type="dxa"/>
              <w:right w:w="85" w:type="dxa"/>
            </w:tcMar>
          </w:tcPr>
          <w:p>
            <w:pPr>
              <w:spacing w:after="60" w:line="245" w:lineRule="auto"/>
            </w:pPr>
            <w:r>
              <w:rPr>
                <w:sz w:val="18"/>
              </w:rPr>
              <w:t>Close all critical/high security issues and core-journey accessibility blockers. Apply assurance thresholds in section 17. Common DoD plus lifecycle/security evidence earns v0.08.</w:t>
            </w:r>
          </w:p>
        </w:tc>
      </w:tr>
      <w:tr>
        <w:trPr>
          <w:cantSplit/>
        </w:trPr>
        <w:tc>
          <w:tcPr>
            <w:tcW w:type="dxa" w:w="2160"/>
            <w:shd w:fill="EFF5F4"/>
            <w:tcMar>
              <w:top w:w="85" w:type="dxa"/>
              <w:left w:w="85" w:type="dxa"/>
              <w:bottom w:w="85" w:type="dxa"/>
              <w:right w:w="85" w:type="dxa"/>
            </w:tcMar>
          </w:tcPr>
          <w:p>
            <w:pPr>
              <w:spacing w:after="60" w:line="245" w:lineRule="auto"/>
            </w:pPr>
            <w:r>
              <w:rPr>
                <w:sz w:val="18"/>
              </w:rPr>
              <w:t>Explicitly out of scope</w:t>
            </w:r>
          </w:p>
        </w:tc>
        <w:tc>
          <w:tcPr>
            <w:tcW w:type="dxa" w:w="7632"/>
            <w:shd w:fill="EFF5F4"/>
            <w:tcMar>
              <w:top w:w="85" w:type="dxa"/>
              <w:left w:w="85" w:type="dxa"/>
              <w:bottom w:w="85" w:type="dxa"/>
              <w:right w:w="85" w:type="dxa"/>
            </w:tcMar>
          </w:tcPr>
          <w:p>
            <w:pPr>
              <w:spacing w:after="60" w:line="245" w:lineRule="auto"/>
            </w:pPr>
            <w:r>
              <w:rPr>
                <w:sz w:val="18"/>
              </w:rPr>
              <w:t>Full compliance certification, institutional assurance, extensive penetration programme, new feature work, broader runtime experimentation.</w:t>
            </w:r>
          </w:p>
        </w:tc>
      </w:tr>
    </w:tbl>
    <w:p/>
    <w:p>
      <w:r>
        <w:t>Release rule: all prior accepted behaviour remains in force. Any scope variation requires a recorded decision and updated tests before gate approval. The common definition of done in section 3 applies in full.</w:t>
      </w:r>
    </w:p>
    <w:p>
      <w:r>
        <w:br w:type="page"/>
      </w:r>
    </w:p>
    <w:p>
      <w:pPr>
        <w:pStyle w:val="Subtitle"/>
      </w:pPr>
      <w:r>
        <w:t>15 • INCREMENT CONTRACT</w:t>
      </w:r>
    </w:p>
    <w:p>
      <w:pPr>
        <w:pStyle w:val="Heading1"/>
      </w:pPr>
      <w:r>
        <w:t>V0.09 | Closed-beta release candidate</w:t>
      </w:r>
    </w:p>
    <w:p>
      <w:r>
        <w:t>30 September–01 October • G09 on 01 October</w:t>
      </w:r>
    </w:p>
    <w:p>
      <w:pPr>
        <w:pStyle w:val="Heading2"/>
      </w:pPr>
      <w:r>
        <w:t>Proof objective</w:t>
      </w:r>
    </w:p>
    <w:p>
      <w:r>
        <w:t>Prove that the tested build can be operated and recovered.</w:t>
      </w:r>
    </w:p>
    <w:tbl>
      <w:tblPr>
        <w:tblW w:type="auto" w:w="0"/>
        <w:tblLayout w:type="fixed"/>
        <w:tblLook w:firstColumn="1" w:firstRow="1" w:lastColumn="0" w:lastRow="0" w:noHBand="0" w:noVBand="1" w:val="04A0"/>
      </w:tblPr>
      <w:tblGrid>
        <w:gridCol w:w="2160"/>
        <w:gridCol w:w="7632"/>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Contract dimension</w:t>
            </w:r>
          </w:p>
        </w:tc>
        <w:tc>
          <w:tcPr>
            <w:tcW w:type="dxa" w:w="4917"/>
            <w:shd w:fill="163C43"/>
            <w:tcMar>
              <w:top w:w="85" w:type="dxa"/>
              <w:left w:w="85" w:type="dxa"/>
              <w:bottom w:w="85" w:type="dxa"/>
              <w:right w:w="85" w:type="dxa"/>
            </w:tcMar>
          </w:tcPr>
          <w:p>
            <w:pPr>
              <w:spacing w:after="60" w:line="245" w:lineRule="auto"/>
            </w:pPr>
            <w:r>
              <w:rPr>
                <w:b/>
                <w:color w:val="FFFFFF"/>
                <w:sz w:val="18"/>
              </w:rPr>
              <w:t>Cumulative requirement</w:t>
            </w:r>
          </w:p>
        </w:tc>
      </w:tr>
      <w:tr>
        <w:trPr>
          <w:cantSplit/>
        </w:trPr>
        <w:tc>
          <w:tcPr>
            <w:tcW w:type="dxa" w:w="2160"/>
            <w:shd w:fill="EFF5F4"/>
            <w:tcMar>
              <w:top w:w="85" w:type="dxa"/>
              <w:left w:w="85" w:type="dxa"/>
              <w:bottom w:w="85" w:type="dxa"/>
              <w:right w:w="85" w:type="dxa"/>
            </w:tcMar>
          </w:tcPr>
          <w:p>
            <w:pPr>
              <w:spacing w:after="60" w:line="245" w:lineRule="auto"/>
            </w:pPr>
            <w:r>
              <w:rPr>
                <w:sz w:val="18"/>
              </w:rPr>
              <w:t>Product / UX</w:t>
            </w:r>
          </w:p>
        </w:tc>
        <w:tc>
          <w:tcPr>
            <w:tcW w:type="dxa" w:w="7632"/>
            <w:shd w:fill="EFF5F4"/>
            <w:tcMar>
              <w:top w:w="85" w:type="dxa"/>
              <w:left w:w="85" w:type="dxa"/>
              <w:bottom w:w="85" w:type="dxa"/>
              <w:right w:w="85" w:type="dxa"/>
            </w:tcMar>
          </w:tcPr>
          <w:p>
            <w:pPr>
              <w:spacing w:after="60" w:line="245" w:lineRule="auto"/>
            </w:pPr>
            <w:r>
              <w:rPr>
                <w:sz w:val="18"/>
              </w:rPr>
              <w:t>Freeze copy and journey. Rehearse onboarding, support, action, outcome, learning and return with representative invited testers; provide feedback route and honest beta limitations.</w:t>
            </w:r>
          </w:p>
        </w:tc>
      </w:tr>
      <w:tr>
        <w:trPr>
          <w:cantSplit/>
        </w:trPr>
        <w:tc>
          <w:tcPr>
            <w:tcW w:type="dxa" w:w="2160"/>
            <w:shd w:fill="FFFFFF"/>
            <w:tcMar>
              <w:top w:w="85" w:type="dxa"/>
              <w:left w:w="85" w:type="dxa"/>
              <w:bottom w:w="85" w:type="dxa"/>
              <w:right w:w="85" w:type="dxa"/>
            </w:tcMar>
          </w:tcPr>
          <w:p>
            <w:pPr>
              <w:spacing w:after="60" w:line="245" w:lineRule="auto"/>
            </w:pPr>
            <w:r>
              <w:rPr>
                <w:sz w:val="18"/>
              </w:rPr>
              <w:t>Technical / runtime</w:t>
            </w:r>
          </w:p>
        </w:tc>
        <w:tc>
          <w:tcPr>
            <w:tcW w:type="dxa" w:w="7632"/>
            <w:shd w:fill="FFFFFF"/>
            <w:tcMar>
              <w:top w:w="85" w:type="dxa"/>
              <w:left w:w="85" w:type="dxa"/>
              <w:bottom w:w="85" w:type="dxa"/>
              <w:right w:w="85" w:type="dxa"/>
            </w:tcMar>
          </w:tcPr>
          <w:p>
            <w:pPr>
              <w:spacing w:after="60" w:line="245" w:lineRule="auto"/>
            </w:pPr>
            <w:r>
              <w:rPr>
                <w:sz w:val="18"/>
              </w:rPr>
              <w:t>Build release candidate from clean CI commit; rehearse production-like deploy, migration, smoke, rollback and restore. Pin runtime/model configuration and feature flags.</w:t>
            </w:r>
          </w:p>
        </w:tc>
      </w:tr>
      <w:tr>
        <w:trPr>
          <w:cantSplit/>
        </w:trPr>
        <w:tc>
          <w:tcPr>
            <w:tcW w:type="dxa" w:w="2160"/>
            <w:shd w:fill="EFF5F4"/>
            <w:tcMar>
              <w:top w:w="85" w:type="dxa"/>
              <w:left w:w="85" w:type="dxa"/>
              <w:bottom w:w="85" w:type="dxa"/>
              <w:right w:w="85" w:type="dxa"/>
            </w:tcMar>
          </w:tcPr>
          <w:p>
            <w:pPr>
              <w:spacing w:after="60" w:line="245" w:lineRule="auto"/>
            </w:pPr>
            <w:r>
              <w:rPr>
                <w:sz w:val="18"/>
              </w:rPr>
              <w:t>Data / state</w:t>
            </w:r>
          </w:p>
        </w:tc>
        <w:tc>
          <w:tcPr>
            <w:tcW w:type="dxa" w:w="7632"/>
            <w:shd w:fill="EFF5F4"/>
            <w:tcMar>
              <w:top w:w="85" w:type="dxa"/>
              <w:left w:w="85" w:type="dxa"/>
              <w:bottom w:w="85" w:type="dxa"/>
              <w:right w:w="85" w:type="dxa"/>
            </w:tcMar>
          </w:tcPr>
          <w:p>
            <w:pPr>
              <w:spacing w:after="60" w:line="245" w:lineRule="auto"/>
            </w:pPr>
            <w:r>
              <w:rPr>
                <w:sz w:val="18"/>
              </w:rPr>
              <w:t>Use synthetic rehearsals; allow limited real pilot data only after G08 privacy approval. Verify backup/restore, deletion ledger reapplication and audit continuity.</w:t>
            </w:r>
          </w:p>
        </w:tc>
      </w:tr>
      <w:tr>
        <w:trPr>
          <w:cantSplit/>
        </w:trPr>
        <w:tc>
          <w:tcPr>
            <w:tcW w:type="dxa" w:w="2160"/>
            <w:shd w:fill="FFFFFF"/>
            <w:tcMar>
              <w:top w:w="85" w:type="dxa"/>
              <w:left w:w="85" w:type="dxa"/>
              <w:bottom w:w="85" w:type="dxa"/>
              <w:right w:w="85" w:type="dxa"/>
            </w:tcMar>
          </w:tcPr>
          <w:p>
            <w:pPr>
              <w:spacing w:after="60" w:line="245" w:lineRule="auto"/>
            </w:pPr>
            <w:r>
              <w:rPr>
                <w:sz w:val="18"/>
              </w:rPr>
              <w:t>Testing / acceptance</w:t>
            </w:r>
          </w:p>
        </w:tc>
        <w:tc>
          <w:tcPr>
            <w:tcW w:type="dxa" w:w="7632"/>
            <w:shd w:fill="FFFFFF"/>
            <w:tcMar>
              <w:top w:w="85" w:type="dxa"/>
              <w:left w:w="85" w:type="dxa"/>
              <w:bottom w:w="85" w:type="dxa"/>
              <w:right w:w="85" w:type="dxa"/>
            </w:tcMar>
          </w:tcPr>
          <w:p>
            <w:pPr>
              <w:spacing w:after="60" w:line="245" w:lineRule="auto"/>
            </w:pPr>
            <w:r>
              <w:rPr>
                <w:sz w:val="18"/>
              </w:rPr>
              <w:t>Three of three observed testers complete the golden loop without developer intervention or a critical error; both founders sign UAT. Deployment/rollback and restore drills meet agreed targets. No P0/P1 remains.</w:t>
            </w:r>
          </w:p>
        </w:tc>
      </w:tr>
      <w:tr>
        <w:trPr>
          <w:cantSplit/>
        </w:trPr>
        <w:tc>
          <w:tcPr>
            <w:tcW w:type="dxa" w:w="2160"/>
            <w:shd w:fill="EFF5F4"/>
            <w:tcMar>
              <w:top w:w="85" w:type="dxa"/>
              <w:left w:w="85" w:type="dxa"/>
              <w:bottom w:w="85" w:type="dxa"/>
              <w:right w:w="85" w:type="dxa"/>
            </w:tcMar>
          </w:tcPr>
          <w:p>
            <w:pPr>
              <w:spacing w:after="60" w:line="245" w:lineRule="auto"/>
            </w:pPr>
            <w:r>
              <w:rPr>
                <w:sz w:val="18"/>
              </w:rPr>
              <w:t>Owners / dependencies</w:t>
            </w:r>
          </w:p>
        </w:tc>
        <w:tc>
          <w:tcPr>
            <w:tcW w:type="dxa" w:w="7632"/>
            <w:shd w:fill="EFF5F4"/>
            <w:tcMar>
              <w:top w:w="85" w:type="dxa"/>
              <w:left w:w="85" w:type="dxa"/>
              <w:bottom w:w="85" w:type="dxa"/>
              <w:right w:w="85" w:type="dxa"/>
            </w:tcMar>
          </w:tcPr>
          <w:p>
            <w:pPr>
              <w:spacing w:after="60" w:line="245" w:lineRule="auto"/>
            </w:pPr>
            <w:r>
              <w:rPr>
                <w:sz w:val="18"/>
              </w:rPr>
              <w:t>André recruits/observes pilot and closes product defects; George operates release rehearsal. Both approve candidate. Depends on G08, available testers and environment access.</w:t>
            </w:r>
          </w:p>
        </w:tc>
      </w:tr>
      <w:tr>
        <w:trPr>
          <w:cantSplit/>
        </w:trPr>
        <w:tc>
          <w:tcPr>
            <w:tcW w:type="dxa" w:w="2160"/>
            <w:shd w:fill="FFFFFF"/>
            <w:tcMar>
              <w:top w:w="85" w:type="dxa"/>
              <w:left w:w="85" w:type="dxa"/>
              <w:bottom w:w="85" w:type="dxa"/>
              <w:right w:w="85" w:type="dxa"/>
            </w:tcMar>
          </w:tcPr>
          <w:p>
            <w:pPr>
              <w:spacing w:after="60" w:line="245" w:lineRule="auto"/>
            </w:pPr>
            <w:r>
              <w:rPr>
                <w:sz w:val="18"/>
              </w:rPr>
              <w:t>Process / done / gate</w:t>
            </w:r>
          </w:p>
        </w:tc>
        <w:tc>
          <w:tcPr>
            <w:tcW w:type="dxa" w:w="7632"/>
            <w:shd w:fill="FFFFFF"/>
            <w:tcMar>
              <w:top w:w="85" w:type="dxa"/>
              <w:left w:w="85" w:type="dxa"/>
              <w:bottom w:w="85" w:type="dxa"/>
              <w:right w:w="85" w:type="dxa"/>
            </w:tcMar>
          </w:tcPr>
          <w:p>
            <w:pPr>
              <w:spacing w:after="60" w:line="245" w:lineRule="auto"/>
            </w:pPr>
            <w:r>
              <w:rPr>
                <w:sz w:val="18"/>
              </w:rPr>
              <w:t>Attach UAT, CI, artefact, recovery and known-issue evidence. Common DoD earns v0.09 / release candidate. Reserve 02 October for fixes only and retest affected gates.</w:t>
            </w:r>
          </w:p>
        </w:tc>
      </w:tr>
      <w:tr>
        <w:trPr>
          <w:cantSplit/>
        </w:trPr>
        <w:tc>
          <w:tcPr>
            <w:tcW w:type="dxa" w:w="2160"/>
            <w:shd w:fill="EFF5F4"/>
            <w:tcMar>
              <w:top w:w="85" w:type="dxa"/>
              <w:left w:w="85" w:type="dxa"/>
              <w:bottom w:w="85" w:type="dxa"/>
              <w:right w:w="85" w:type="dxa"/>
            </w:tcMar>
          </w:tcPr>
          <w:p>
            <w:pPr>
              <w:spacing w:after="60" w:line="245" w:lineRule="auto"/>
            </w:pPr>
            <w:r>
              <w:rPr>
                <w:sz w:val="18"/>
              </w:rPr>
              <w:t>Explicitly out of scope</w:t>
            </w:r>
          </w:p>
        </w:tc>
        <w:tc>
          <w:tcPr>
            <w:tcW w:type="dxa" w:w="7632"/>
            <w:shd w:fill="EFF5F4"/>
            <w:tcMar>
              <w:top w:w="85" w:type="dxa"/>
              <w:left w:w="85" w:type="dxa"/>
              <w:bottom w:w="85" w:type="dxa"/>
              <w:right w:w="85" w:type="dxa"/>
            </w:tcMar>
          </w:tcPr>
          <w:p>
            <w:pPr>
              <w:spacing w:after="60" w:line="245" w:lineRule="auto"/>
            </w:pPr>
            <w:r>
              <w:rPr>
                <w:sz w:val="18"/>
              </w:rPr>
              <w:t>New journeys, rebranding, broad integrations, public launch, beta growth experiments and counting mock demos as user completion.</w:t>
            </w:r>
          </w:p>
        </w:tc>
      </w:tr>
    </w:tbl>
    <w:p/>
    <w:p>
      <w:r>
        <w:t>Release rule: all prior accepted behaviour remains in force. Any scope variation requires a recorded decision and updated tests before gate approval. The common definition of done in section 3 applies in full.</w:t>
      </w:r>
    </w:p>
    <w:p>
      <w:r>
        <w:br w:type="page"/>
      </w:r>
    </w:p>
    <w:p>
      <w:pPr>
        <w:pStyle w:val="Subtitle"/>
      </w:pPr>
      <w:r>
        <w:t>16 • INCREMENT CONTRACT</w:t>
      </w:r>
    </w:p>
    <w:p>
      <w:pPr>
        <w:pStyle w:val="Heading1"/>
      </w:pPr>
      <w:r>
        <w:t>V0.1 | Release the governed closed beta</w:t>
      </w:r>
    </w:p>
    <w:p>
      <w:r>
        <w:t>05 October • G10 on 05 October</w:t>
      </w:r>
    </w:p>
    <w:p>
      <w:pPr>
        <w:pStyle w:val="Heading2"/>
      </w:pPr>
      <w:r>
        <w:t>Proof objective</w:t>
      </w:r>
    </w:p>
    <w:p>
      <w:r>
        <w:t>Invite the first cohort to the exact build both owners have accepted.</w:t>
      </w:r>
    </w:p>
    <w:tbl>
      <w:tblPr>
        <w:tblW w:type="auto" w:w="0"/>
        <w:tblLayout w:type="fixed"/>
        <w:tblLook w:firstColumn="1" w:firstRow="1" w:lastColumn="0" w:lastRow="0" w:noHBand="0" w:noVBand="1" w:val="04A0"/>
      </w:tblPr>
      <w:tblGrid>
        <w:gridCol w:w="2160"/>
        <w:gridCol w:w="7632"/>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Contract dimension</w:t>
            </w:r>
          </w:p>
        </w:tc>
        <w:tc>
          <w:tcPr>
            <w:tcW w:type="dxa" w:w="4917"/>
            <w:shd w:fill="163C43"/>
            <w:tcMar>
              <w:top w:w="85" w:type="dxa"/>
              <w:left w:w="85" w:type="dxa"/>
              <w:bottom w:w="85" w:type="dxa"/>
              <w:right w:w="85" w:type="dxa"/>
            </w:tcMar>
          </w:tcPr>
          <w:p>
            <w:pPr>
              <w:spacing w:after="60" w:line="245" w:lineRule="auto"/>
            </w:pPr>
            <w:r>
              <w:rPr>
                <w:b/>
                <w:color w:val="FFFFFF"/>
                <w:sz w:val="18"/>
              </w:rPr>
              <w:t>Cumulative requirement</w:t>
            </w:r>
          </w:p>
        </w:tc>
      </w:tr>
      <w:tr>
        <w:trPr>
          <w:cantSplit/>
        </w:trPr>
        <w:tc>
          <w:tcPr>
            <w:tcW w:type="dxa" w:w="2160"/>
            <w:shd w:fill="EFF5F4"/>
            <w:tcMar>
              <w:top w:w="85" w:type="dxa"/>
              <w:left w:w="85" w:type="dxa"/>
              <w:bottom w:w="85" w:type="dxa"/>
              <w:right w:w="85" w:type="dxa"/>
            </w:tcMar>
          </w:tcPr>
          <w:p>
            <w:pPr>
              <w:spacing w:after="60" w:line="245" w:lineRule="auto"/>
            </w:pPr>
            <w:r>
              <w:rPr>
                <w:sz w:val="18"/>
              </w:rPr>
              <w:t>Product / UX</w:t>
            </w:r>
          </w:p>
        </w:tc>
        <w:tc>
          <w:tcPr>
            <w:tcW w:type="dxa" w:w="7632"/>
            <w:shd w:fill="EFF5F4"/>
            <w:tcMar>
              <w:top w:w="85" w:type="dxa"/>
              <w:left w:w="85" w:type="dxa"/>
              <w:bottom w:w="85" w:type="dxa"/>
              <w:right w:w="85" w:type="dxa"/>
            </w:tcMar>
          </w:tcPr>
          <w:p>
            <w:pPr>
              <w:spacing w:after="60" w:line="245" w:lineRule="auto"/>
            </w:pPr>
            <w:r>
              <w:rPr>
                <w:sz w:val="18"/>
              </w:rPr>
              <w:t>Launch the approved responsive Home/Chat/Work journey, context controls and complete learning loop. Publish beta scope, feedback/support route and privacy/retention explanation.</w:t>
            </w:r>
          </w:p>
        </w:tc>
      </w:tr>
      <w:tr>
        <w:trPr>
          <w:cantSplit/>
        </w:trPr>
        <w:tc>
          <w:tcPr>
            <w:tcW w:type="dxa" w:w="2160"/>
            <w:shd w:fill="FFFFFF"/>
            <w:tcMar>
              <w:top w:w="85" w:type="dxa"/>
              <w:left w:w="85" w:type="dxa"/>
              <w:bottom w:w="85" w:type="dxa"/>
              <w:right w:w="85" w:type="dxa"/>
            </w:tcMar>
          </w:tcPr>
          <w:p>
            <w:pPr>
              <w:spacing w:after="60" w:line="245" w:lineRule="auto"/>
            </w:pPr>
            <w:r>
              <w:rPr>
                <w:sz w:val="18"/>
              </w:rPr>
              <w:t>Technical / runtime</w:t>
            </w:r>
          </w:p>
        </w:tc>
        <w:tc>
          <w:tcPr>
            <w:tcW w:type="dxa" w:w="7632"/>
            <w:shd w:fill="FFFFFF"/>
            <w:tcMar>
              <w:top w:w="85" w:type="dxa"/>
              <w:left w:w="85" w:type="dxa"/>
              <w:bottom w:w="85" w:type="dxa"/>
              <w:right w:w="85" w:type="dxa"/>
            </w:tcMar>
          </w:tcPr>
          <w:p>
            <w:pPr>
              <w:spacing w:after="60" w:line="245" w:lineRule="auto"/>
            </w:pPr>
            <w:r>
              <w:rPr>
                <w:sz w:val="18"/>
              </w:rPr>
              <w:t>Promote the tested immutable artefact, compatible migration and pinned runtime configuration. Run live smoke using a controlled test account; observe health, errors and spend.</w:t>
            </w:r>
          </w:p>
        </w:tc>
      </w:tr>
      <w:tr>
        <w:trPr>
          <w:cantSplit/>
        </w:trPr>
        <w:tc>
          <w:tcPr>
            <w:tcW w:type="dxa" w:w="2160"/>
            <w:shd w:fill="EFF5F4"/>
            <w:tcMar>
              <w:top w:w="85" w:type="dxa"/>
              <w:left w:w="85" w:type="dxa"/>
              <w:bottom w:w="85" w:type="dxa"/>
              <w:right w:w="85" w:type="dxa"/>
            </w:tcMar>
          </w:tcPr>
          <w:p>
            <w:pPr>
              <w:spacing w:after="60" w:line="245" w:lineRule="auto"/>
            </w:pPr>
            <w:r>
              <w:rPr>
                <w:sz w:val="18"/>
              </w:rPr>
              <w:t>Data / state</w:t>
            </w:r>
          </w:p>
        </w:tc>
        <w:tc>
          <w:tcPr>
            <w:tcW w:type="dxa" w:w="7632"/>
            <w:shd w:fill="EFF5F4"/>
            <w:tcMar>
              <w:top w:w="85" w:type="dxa"/>
              <w:left w:w="85" w:type="dxa"/>
              <w:bottom w:w="85" w:type="dxa"/>
              <w:right w:w="85" w:type="dxa"/>
            </w:tcMar>
          </w:tcPr>
          <w:p>
            <w:pPr>
              <w:spacing w:after="60" w:line="245" w:lineRule="auto"/>
            </w:pPr>
            <w:r>
              <w:rPr>
                <w:sz w:val="18"/>
              </w:rPr>
              <w:t>Activate only approved invitations; separate production records from fixtures. Validate owner access, backup schedule, deletion queue and content-minimised audit capture.</w:t>
            </w:r>
          </w:p>
        </w:tc>
      </w:tr>
      <w:tr>
        <w:trPr>
          <w:cantSplit/>
        </w:trPr>
        <w:tc>
          <w:tcPr>
            <w:tcW w:type="dxa" w:w="2160"/>
            <w:shd w:fill="FFFFFF"/>
            <w:tcMar>
              <w:top w:w="85" w:type="dxa"/>
              <w:left w:w="85" w:type="dxa"/>
              <w:bottom w:w="85" w:type="dxa"/>
              <w:right w:w="85" w:type="dxa"/>
            </w:tcMar>
          </w:tcPr>
          <w:p>
            <w:pPr>
              <w:spacing w:after="60" w:line="245" w:lineRule="auto"/>
            </w:pPr>
            <w:r>
              <w:rPr>
                <w:sz w:val="18"/>
              </w:rPr>
              <w:t>Testing / acceptance</w:t>
            </w:r>
          </w:p>
        </w:tc>
        <w:tc>
          <w:tcPr>
            <w:tcW w:type="dxa" w:w="7632"/>
            <w:shd w:fill="FFFFFF"/>
            <w:tcMar>
              <w:top w:w="85" w:type="dxa"/>
              <w:left w:w="85" w:type="dxa"/>
              <w:bottom w:w="85" w:type="dxa"/>
              <w:right w:w="85" w:type="dxa"/>
            </w:tcMar>
          </w:tcPr>
          <w:p>
            <w:pPr>
              <w:spacing w:after="60" w:line="245" w:lineRule="auto"/>
            </w:pPr>
            <w:r>
              <w:rPr>
                <w:sz w:val="18"/>
              </w:rPr>
              <w:t>Every final checklist row has dated evidence and both owners approve release. Production smoke completes real workflow and learning loop; no cross-user exposure, mock substitution or blocked critical path.</w:t>
            </w:r>
          </w:p>
        </w:tc>
      </w:tr>
      <w:tr>
        <w:trPr>
          <w:cantSplit/>
        </w:trPr>
        <w:tc>
          <w:tcPr>
            <w:tcW w:type="dxa" w:w="2160"/>
            <w:shd w:fill="EFF5F4"/>
            <w:tcMar>
              <w:top w:w="85" w:type="dxa"/>
              <w:left w:w="85" w:type="dxa"/>
              <w:bottom w:w="85" w:type="dxa"/>
              <w:right w:w="85" w:type="dxa"/>
            </w:tcMar>
          </w:tcPr>
          <w:p>
            <w:pPr>
              <w:spacing w:after="60" w:line="245" w:lineRule="auto"/>
            </w:pPr>
            <w:r>
              <w:rPr>
                <w:sz w:val="18"/>
              </w:rPr>
              <w:t>Owners / dependencies</w:t>
            </w:r>
          </w:p>
        </w:tc>
        <w:tc>
          <w:tcPr>
            <w:tcW w:type="dxa" w:w="7632"/>
            <w:shd w:fill="EFF5F4"/>
            <w:tcMar>
              <w:top w:w="85" w:type="dxa"/>
              <w:left w:w="85" w:type="dxa"/>
              <w:bottom w:w="85" w:type="dxa"/>
              <w:right w:w="85" w:type="dxa"/>
            </w:tcMar>
          </w:tcPr>
          <w:p>
            <w:pPr>
              <w:spacing w:after="60" w:line="245" w:lineRule="auto"/>
            </w:pPr>
            <w:r>
              <w:rPr>
                <w:sz w:val="18"/>
              </w:rPr>
              <w:t>André: go/no-go for product and cohort; George: technical go/no-go and deployment. Depends on G09, 02 October fixes, release cover and all non-waivable controls.</w:t>
            </w:r>
          </w:p>
        </w:tc>
      </w:tr>
      <w:tr>
        <w:trPr>
          <w:cantSplit/>
        </w:trPr>
        <w:tc>
          <w:tcPr>
            <w:tcW w:type="dxa" w:w="2160"/>
            <w:shd w:fill="FFFFFF"/>
            <w:tcMar>
              <w:top w:w="85" w:type="dxa"/>
              <w:left w:w="85" w:type="dxa"/>
              <w:bottom w:w="85" w:type="dxa"/>
              <w:right w:w="85" w:type="dxa"/>
            </w:tcMar>
          </w:tcPr>
          <w:p>
            <w:pPr>
              <w:spacing w:after="60" w:line="245" w:lineRule="auto"/>
            </w:pPr>
            <w:r>
              <w:rPr>
                <w:sz w:val="18"/>
              </w:rPr>
              <w:t>Process / done / gate</w:t>
            </w:r>
          </w:p>
        </w:tc>
        <w:tc>
          <w:tcPr>
            <w:tcW w:type="dxa" w:w="7632"/>
            <w:shd w:fill="FFFFFF"/>
            <w:tcMar>
              <w:top w:w="85" w:type="dxa"/>
              <w:left w:w="85" w:type="dxa"/>
              <w:bottom w:w="85" w:type="dxa"/>
              <w:right w:w="85" w:type="dxa"/>
            </w:tcMar>
          </w:tcPr>
          <w:p>
            <w:pPr>
              <w:spacing w:after="60" w:line="245" w:lineRule="auto"/>
            </w:pPr>
            <w:r>
              <w:rPr>
                <w:sz w:val="18"/>
              </w:rPr>
              <w:t>Tag v0.1 and record commit/artefact/runtime/schema IDs, release notes and known issues. Invite proposed first five users, expanding to at most 20 only after a stable review. Common DoD plus final checklist PASS closes G10.</w:t>
            </w:r>
          </w:p>
        </w:tc>
      </w:tr>
      <w:tr>
        <w:trPr>
          <w:cantSplit/>
        </w:trPr>
        <w:tc>
          <w:tcPr>
            <w:tcW w:type="dxa" w:w="2160"/>
            <w:shd w:fill="EFF5F4"/>
            <w:tcMar>
              <w:top w:w="85" w:type="dxa"/>
              <w:left w:w="85" w:type="dxa"/>
              <w:bottom w:w="85" w:type="dxa"/>
              <w:right w:w="85" w:type="dxa"/>
            </w:tcMar>
          </w:tcPr>
          <w:p>
            <w:pPr>
              <w:spacing w:after="60" w:line="245" w:lineRule="auto"/>
            </w:pPr>
            <w:r>
              <w:rPr>
                <w:sz w:val="18"/>
              </w:rPr>
              <w:t>Explicitly out of scope</w:t>
            </w:r>
          </w:p>
        </w:tc>
        <w:tc>
          <w:tcPr>
            <w:tcW w:type="dxa" w:w="7632"/>
            <w:shd w:fill="EFF5F4"/>
            <w:tcMar>
              <w:top w:w="85" w:type="dxa"/>
              <w:left w:w="85" w:type="dxa"/>
              <w:bottom w:w="85" w:type="dxa"/>
              <w:right w:w="85" w:type="dxa"/>
            </w:tcMar>
          </w:tcPr>
          <w:p>
            <w:pPr>
              <w:spacing w:after="60" w:line="245" w:lineRule="auto"/>
            </w:pPr>
            <w:r>
              <w:rPr>
                <w:sz w:val="18"/>
              </w:rPr>
              <w:t>Public availability, guaranteed scale, institutional/clinical claims, fundraising success claims and automatically widening the cohort without review.</w:t>
            </w:r>
          </w:p>
        </w:tc>
      </w:tr>
    </w:tbl>
    <w:p/>
    <w:p>
      <w:r>
        <w:t>Release rule: all prior accepted behaviour remains in force. Any scope variation requires a recorded decision and updated tests before gate approval. The common definition of done in section 3 applies in full.</w:t>
      </w:r>
    </w:p>
    <w:p>
      <w:r>
        <w:br w:type="page"/>
      </w:r>
    </w:p>
    <w:p>
      <w:pPr>
        <w:pStyle w:val="Subtitle"/>
      </w:pPr>
      <w:r>
        <w:t>17 • TESTING AND ASSURANCE</w:t>
      </w:r>
    </w:p>
    <w:p>
      <w:pPr>
        <w:pStyle w:val="Heading1"/>
      </w:pPr>
      <w:r>
        <w:t>Evidence that earns a release</w:t>
      </w:r>
    </w:p>
    <w:p>
      <w:r>
        <w:t>These are proposed release thresholds, to lock at kickoff and measure on the release candidate. They are engineering/product acceptance targets, not claims that the present build already passes or that legal compliance has been certified.</w:t>
      </w:r>
    </w:p>
    <w:tbl>
      <w:tblPr>
        <w:tblW w:type="auto" w:w="0"/>
        <w:tblLayout w:type="fixed"/>
        <w:tblLook w:firstColumn="1" w:firstRow="1" w:lastColumn="0" w:lastRow="0" w:noHBand="0" w:noVBand="1" w:val="04A0"/>
      </w:tblPr>
      <w:tblGrid>
        <w:gridCol w:w="1944"/>
        <w:gridCol w:w="6696"/>
        <w:gridCol w:w="1152"/>
      </w:tblGrid>
      <w:tr>
        <w:trPr>
          <w:cantSplit/>
          <w:tblHeader/>
        </w:trPr>
        <w:tc>
          <w:tcPr>
            <w:tcW w:type="dxa" w:w="3278"/>
            <w:shd w:fill="163C43"/>
            <w:tcMar>
              <w:top w:w="85" w:type="dxa"/>
              <w:left w:w="85" w:type="dxa"/>
              <w:bottom w:w="85" w:type="dxa"/>
              <w:right w:w="85" w:type="dxa"/>
            </w:tcMar>
          </w:tcPr>
          <w:p>
            <w:pPr>
              <w:spacing w:after="60" w:line="245" w:lineRule="auto"/>
            </w:pPr>
            <w:r>
              <w:rPr>
                <w:b/>
                <w:color w:val="FFFFFF"/>
                <w:sz w:val="18"/>
              </w:rPr>
              <w:t>Evidence</w:t>
            </w:r>
          </w:p>
        </w:tc>
        <w:tc>
          <w:tcPr>
            <w:tcW w:type="dxa" w:w="3278"/>
            <w:shd w:fill="163C43"/>
            <w:tcMar>
              <w:top w:w="85" w:type="dxa"/>
              <w:left w:w="85" w:type="dxa"/>
              <w:bottom w:w="85" w:type="dxa"/>
              <w:right w:w="85" w:type="dxa"/>
            </w:tcMar>
          </w:tcPr>
          <w:p>
            <w:pPr>
              <w:spacing w:after="60" w:line="245" w:lineRule="auto"/>
            </w:pPr>
            <w:r>
              <w:rPr>
                <w:b/>
                <w:color w:val="FFFFFF"/>
                <w:sz w:val="18"/>
              </w:rPr>
              <w:t>Required result</w:t>
            </w:r>
          </w:p>
        </w:tc>
        <w:tc>
          <w:tcPr>
            <w:tcW w:type="dxa" w:w="3278"/>
            <w:shd w:fill="163C43"/>
            <w:tcMar>
              <w:top w:w="85" w:type="dxa"/>
              <w:left w:w="85" w:type="dxa"/>
              <w:bottom w:w="85" w:type="dxa"/>
              <w:right w:w="85" w:type="dxa"/>
            </w:tcMar>
          </w:tcPr>
          <w:p>
            <w:pPr>
              <w:spacing w:after="60" w:line="245" w:lineRule="auto"/>
            </w:pPr>
            <w:r>
              <w:rPr>
                <w:b/>
                <w:color w:val="FFFFFF"/>
                <w:sz w:val="18"/>
              </w:rPr>
              <w:t>Owner</w:t>
            </w:r>
          </w:p>
        </w:tc>
      </w:tr>
      <w:tr>
        <w:trPr>
          <w:cantSplit/>
        </w:trPr>
        <w:tc>
          <w:tcPr>
            <w:tcW w:type="dxa" w:w="1944"/>
            <w:shd w:fill="EFF5F4"/>
            <w:tcMar>
              <w:top w:w="85" w:type="dxa"/>
              <w:left w:w="85" w:type="dxa"/>
              <w:bottom w:w="85" w:type="dxa"/>
              <w:right w:w="85" w:type="dxa"/>
            </w:tcMar>
          </w:tcPr>
          <w:p>
            <w:pPr>
              <w:spacing w:after="60" w:line="245" w:lineRule="auto"/>
            </w:pPr>
            <w:r>
              <w:rPr>
                <w:sz w:val="18"/>
              </w:rPr>
              <w:t>Contract + state tests</w:t>
            </w:r>
          </w:p>
        </w:tc>
        <w:tc>
          <w:tcPr>
            <w:tcW w:type="dxa" w:w="6696"/>
            <w:shd w:fill="EFF5F4"/>
            <w:tcMar>
              <w:top w:w="85" w:type="dxa"/>
              <w:left w:w="85" w:type="dxa"/>
              <w:bottom w:w="85" w:type="dxa"/>
              <w:right w:w="85" w:type="dxa"/>
            </w:tcMar>
          </w:tcPr>
          <w:p>
            <w:pPr>
              <w:spacing w:after="60" w:line="245" w:lineRule="auto"/>
            </w:pPr>
            <w:r>
              <w:rPr>
                <w:sz w:val="18"/>
              </w:rPr>
              <w:t>All relevant schemas, lifecycle transitions, idempotency, cancellation, late events and adapter fixtures pass. Mock used for determinism; real runtime used for release smoke.</w:t>
            </w:r>
          </w:p>
        </w:tc>
        <w:tc>
          <w:tcPr>
            <w:tcW w:type="dxa" w:w="1152"/>
            <w:shd w:fill="EFF5F4"/>
            <w:tcMar>
              <w:top w:w="85" w:type="dxa"/>
              <w:left w:w="85" w:type="dxa"/>
              <w:bottom w:w="85" w:type="dxa"/>
              <w:right w:w="85" w:type="dxa"/>
            </w:tcMar>
          </w:tcPr>
          <w:p>
            <w:pPr>
              <w:spacing w:after="60" w:line="245" w:lineRule="auto"/>
            </w:pPr>
            <w:r>
              <w:rPr>
                <w:sz w:val="18"/>
              </w:rPr>
              <w:t>George</w:t>
            </w:r>
          </w:p>
        </w:tc>
      </w:tr>
      <w:tr>
        <w:trPr>
          <w:cantSplit/>
        </w:trPr>
        <w:tc>
          <w:tcPr>
            <w:tcW w:type="dxa" w:w="1944"/>
            <w:shd w:fill="FFFFFF"/>
            <w:tcMar>
              <w:top w:w="85" w:type="dxa"/>
              <w:left w:w="85" w:type="dxa"/>
              <w:bottom w:w="85" w:type="dxa"/>
              <w:right w:w="85" w:type="dxa"/>
            </w:tcMar>
          </w:tcPr>
          <w:p>
            <w:pPr>
              <w:spacing w:after="60" w:line="245" w:lineRule="auto"/>
            </w:pPr>
            <w:r>
              <w:rPr>
                <w:sz w:val="18"/>
              </w:rPr>
              <w:t>Isolation and policy</w:t>
            </w:r>
          </w:p>
        </w:tc>
        <w:tc>
          <w:tcPr>
            <w:tcW w:type="dxa" w:w="6696"/>
            <w:shd w:fill="FFFFFF"/>
            <w:tcMar>
              <w:top w:w="85" w:type="dxa"/>
              <w:left w:w="85" w:type="dxa"/>
              <w:bottom w:w="85" w:type="dxa"/>
              <w:right w:w="85" w:type="dxa"/>
            </w:tcMar>
          </w:tcPr>
          <w:p>
            <w:pPr>
              <w:spacing w:after="60" w:line="245" w:lineRule="auto"/>
            </w:pPr>
            <w:r>
              <w:rPr>
                <w:sz w:val="18"/>
              </w:rPr>
              <w:t>Zero unauthorised cross-user reads/writes/streams/exports; all action gates enforced server-side. No provider/service-role secrets in client, logs or source.</w:t>
            </w:r>
          </w:p>
        </w:tc>
        <w:tc>
          <w:tcPr>
            <w:tcW w:type="dxa" w:w="1152"/>
            <w:shd w:fill="FFFFFF"/>
            <w:tcMar>
              <w:top w:w="85" w:type="dxa"/>
              <w:left w:w="85" w:type="dxa"/>
              <w:bottom w:w="85" w:type="dxa"/>
              <w:right w:w="85" w:type="dxa"/>
            </w:tcMar>
          </w:tcPr>
          <w:p>
            <w:pPr>
              <w:spacing w:after="60" w:line="245" w:lineRule="auto"/>
            </w:pPr>
            <w:r>
              <w:rPr>
                <w:sz w:val="18"/>
              </w:rPr>
              <w:t>George</w:t>
            </w:r>
          </w:p>
        </w:tc>
      </w:tr>
      <w:tr>
        <w:trPr>
          <w:cantSplit/>
        </w:trPr>
        <w:tc>
          <w:tcPr>
            <w:tcW w:type="dxa" w:w="1944"/>
            <w:shd w:fill="EFF5F4"/>
            <w:tcMar>
              <w:top w:w="85" w:type="dxa"/>
              <w:left w:w="85" w:type="dxa"/>
              <w:bottom w:w="85" w:type="dxa"/>
              <w:right w:w="85" w:type="dxa"/>
            </w:tcMar>
          </w:tcPr>
          <w:p>
            <w:pPr>
              <w:spacing w:after="60" w:line="245" w:lineRule="auto"/>
            </w:pPr>
            <w:r>
              <w:rPr>
                <w:sz w:val="18"/>
              </w:rPr>
              <w:t>Functional loop</w:t>
            </w:r>
          </w:p>
        </w:tc>
        <w:tc>
          <w:tcPr>
            <w:tcW w:type="dxa" w:w="6696"/>
            <w:shd w:fill="EFF5F4"/>
            <w:tcMar>
              <w:top w:w="85" w:type="dxa"/>
              <w:left w:w="85" w:type="dxa"/>
              <w:bottom w:w="85" w:type="dxa"/>
              <w:right w:w="85" w:type="dxa"/>
            </w:tcMar>
          </w:tcPr>
          <w:p>
            <w:pPr>
              <w:spacing w:after="60" w:line="245" w:lineRule="auto"/>
            </w:pPr>
            <w:r>
              <w:rPr>
                <w:sz w:val="18"/>
              </w:rPr>
              <w:t>All Must criteria from increments pass. Three observed users each complete the one loop without developer intervention; failures are fixed and rerun.</w:t>
            </w:r>
          </w:p>
        </w:tc>
        <w:tc>
          <w:tcPr>
            <w:tcW w:type="dxa" w:w="1152"/>
            <w:shd w:fill="EFF5F4"/>
            <w:tcMar>
              <w:top w:w="85" w:type="dxa"/>
              <w:left w:w="85" w:type="dxa"/>
              <w:bottom w:w="85" w:type="dxa"/>
              <w:right w:w="85" w:type="dxa"/>
            </w:tcMar>
          </w:tcPr>
          <w:p>
            <w:pPr>
              <w:spacing w:after="60" w:line="245" w:lineRule="auto"/>
            </w:pPr>
            <w:r>
              <w:rPr>
                <w:sz w:val="18"/>
              </w:rPr>
              <w:t>André</w:t>
            </w:r>
          </w:p>
        </w:tc>
      </w:tr>
      <w:tr>
        <w:trPr>
          <w:cantSplit/>
        </w:trPr>
        <w:tc>
          <w:tcPr>
            <w:tcW w:type="dxa" w:w="1944"/>
            <w:shd w:fill="FFFFFF"/>
            <w:tcMar>
              <w:top w:w="85" w:type="dxa"/>
              <w:left w:w="85" w:type="dxa"/>
              <w:bottom w:w="85" w:type="dxa"/>
              <w:right w:w="85" w:type="dxa"/>
            </w:tcMar>
          </w:tcPr>
          <w:p>
            <w:pPr>
              <w:spacing w:after="60" w:line="245" w:lineRule="auto"/>
            </w:pPr>
            <w:r>
              <w:rPr>
                <w:sz w:val="18"/>
              </w:rPr>
              <w:t>Adaptation utility</w:t>
            </w:r>
          </w:p>
        </w:tc>
        <w:tc>
          <w:tcPr>
            <w:tcW w:type="dxa" w:w="6696"/>
            <w:shd w:fill="FFFFFF"/>
            <w:tcMar>
              <w:top w:w="85" w:type="dxa"/>
              <w:left w:w="85" w:type="dxa"/>
              <w:bottom w:w="85" w:type="dxa"/>
              <w:right w:w="85" w:type="dxa"/>
            </w:tcMar>
          </w:tcPr>
          <w:p>
            <w:pPr>
              <w:spacing w:after="60" w:line="245" w:lineRule="auto"/>
            </w:pPr>
            <w:r>
              <w:rPr>
                <w:sz w:val="18"/>
              </w:rPr>
              <w:t>Ten paired synthetic cases, same intent with eligible context on/off. André and George independently score relevance, actionability and agency (1–5); context version is no worse in ≥8/10 and improves ≥6/10; zero unsafe inference cases.</w:t>
            </w:r>
          </w:p>
        </w:tc>
        <w:tc>
          <w:tcPr>
            <w:tcW w:type="dxa" w:w="1152"/>
            <w:shd w:fill="FFFFFF"/>
            <w:tcMar>
              <w:top w:w="85" w:type="dxa"/>
              <w:left w:w="85" w:type="dxa"/>
              <w:bottom w:w="85" w:type="dxa"/>
              <w:right w:w="85" w:type="dxa"/>
            </w:tcMar>
          </w:tcPr>
          <w:p>
            <w:pPr>
              <w:spacing w:after="60" w:line="245" w:lineRule="auto"/>
            </w:pPr>
            <w:r>
              <w:rPr>
                <w:sz w:val="18"/>
              </w:rPr>
              <w:t>Joint</w:t>
            </w:r>
          </w:p>
        </w:tc>
      </w:tr>
      <w:tr>
        <w:trPr>
          <w:cantSplit/>
        </w:trPr>
        <w:tc>
          <w:tcPr>
            <w:tcW w:type="dxa" w:w="1944"/>
            <w:shd w:fill="EFF5F4"/>
            <w:tcMar>
              <w:top w:w="85" w:type="dxa"/>
              <w:left w:w="85" w:type="dxa"/>
              <w:bottom w:w="85" w:type="dxa"/>
              <w:right w:w="85" w:type="dxa"/>
            </w:tcMar>
          </w:tcPr>
          <w:p>
            <w:pPr>
              <w:spacing w:after="60" w:line="245" w:lineRule="auto"/>
            </w:pPr>
            <w:r>
              <w:rPr>
                <w:sz w:val="18"/>
              </w:rPr>
              <w:t>Accessibility</w:t>
            </w:r>
          </w:p>
        </w:tc>
        <w:tc>
          <w:tcPr>
            <w:tcW w:type="dxa" w:w="6696"/>
            <w:shd w:fill="EFF5F4"/>
            <w:tcMar>
              <w:top w:w="85" w:type="dxa"/>
              <w:left w:w="85" w:type="dxa"/>
              <w:bottom w:w="85" w:type="dxa"/>
              <w:right w:w="85" w:type="dxa"/>
            </w:tcMar>
          </w:tcPr>
          <w:p>
            <w:pPr>
              <w:spacing w:after="60" w:line="245" w:lineRule="auto"/>
            </w:pPr>
            <w:r>
              <w:rPr>
                <w:sz w:val="18"/>
              </w:rPr>
              <w:t>No critical/serious automated findings on core views; manual keyboard/focus, modal escape, screen-reader status sample, reduced-motion and zoom/reflow checks pass.</w:t>
            </w:r>
          </w:p>
        </w:tc>
        <w:tc>
          <w:tcPr>
            <w:tcW w:type="dxa" w:w="1152"/>
            <w:shd w:fill="EFF5F4"/>
            <w:tcMar>
              <w:top w:w="85" w:type="dxa"/>
              <w:left w:w="85" w:type="dxa"/>
              <w:bottom w:w="85" w:type="dxa"/>
              <w:right w:w="85" w:type="dxa"/>
            </w:tcMar>
          </w:tcPr>
          <w:p>
            <w:pPr>
              <w:spacing w:after="60" w:line="245" w:lineRule="auto"/>
            </w:pPr>
            <w:r>
              <w:rPr>
                <w:sz w:val="18"/>
              </w:rPr>
              <w:t>Joint</w:t>
            </w:r>
          </w:p>
        </w:tc>
      </w:tr>
      <w:tr>
        <w:trPr>
          <w:cantSplit/>
        </w:trPr>
        <w:tc>
          <w:tcPr>
            <w:tcW w:type="dxa" w:w="1944"/>
            <w:shd w:fill="FFFFFF"/>
            <w:tcMar>
              <w:top w:w="85" w:type="dxa"/>
              <w:left w:w="85" w:type="dxa"/>
              <w:bottom w:w="85" w:type="dxa"/>
              <w:right w:w="85" w:type="dxa"/>
            </w:tcMar>
          </w:tcPr>
          <w:p>
            <w:pPr>
              <w:spacing w:after="60" w:line="245" w:lineRule="auto"/>
            </w:pPr>
            <w:r>
              <w:rPr>
                <w:sz w:val="18"/>
              </w:rPr>
              <w:t>Performance / reliability</w:t>
            </w:r>
          </w:p>
        </w:tc>
        <w:tc>
          <w:tcPr>
            <w:tcW w:type="dxa" w:w="6696"/>
            <w:shd w:fill="FFFFFF"/>
            <w:tcMar>
              <w:top w:w="85" w:type="dxa"/>
              <w:left w:w="85" w:type="dxa"/>
              <w:bottom w:w="85" w:type="dxa"/>
              <w:right w:w="85" w:type="dxa"/>
            </w:tcMar>
          </w:tcPr>
          <w:p>
            <w:pPr>
              <w:spacing w:after="60" w:line="245" w:lineRule="auto"/>
            </w:pPr>
            <w:r>
              <w:rPr>
                <w:sz w:val="18"/>
              </w:rPr>
              <w:t>At 5 concurrent synthetic users: ≥95% successful approved runs over 100 runs; p95 first visible response ≤5s, selected workflow ≤60s. Clear timeout by 90s and draft/state recovery.</w:t>
            </w:r>
          </w:p>
        </w:tc>
        <w:tc>
          <w:tcPr>
            <w:tcW w:type="dxa" w:w="1152"/>
            <w:shd w:fill="FFFFFF"/>
            <w:tcMar>
              <w:top w:w="85" w:type="dxa"/>
              <w:left w:w="85" w:type="dxa"/>
              <w:bottom w:w="85" w:type="dxa"/>
              <w:right w:w="85" w:type="dxa"/>
            </w:tcMar>
          </w:tcPr>
          <w:p>
            <w:pPr>
              <w:spacing w:after="60" w:line="245" w:lineRule="auto"/>
            </w:pPr>
            <w:r>
              <w:rPr>
                <w:sz w:val="18"/>
              </w:rPr>
              <w:t>George</w:t>
            </w:r>
          </w:p>
        </w:tc>
      </w:tr>
      <w:tr>
        <w:trPr>
          <w:cantSplit/>
        </w:trPr>
        <w:tc>
          <w:tcPr>
            <w:tcW w:type="dxa" w:w="1944"/>
            <w:shd w:fill="EFF5F4"/>
            <w:tcMar>
              <w:top w:w="85" w:type="dxa"/>
              <w:left w:w="85" w:type="dxa"/>
              <w:bottom w:w="85" w:type="dxa"/>
              <w:right w:w="85" w:type="dxa"/>
            </w:tcMar>
          </w:tcPr>
          <w:p>
            <w:pPr>
              <w:spacing w:after="60" w:line="245" w:lineRule="auto"/>
            </w:pPr>
            <w:r>
              <w:rPr>
                <w:sz w:val="18"/>
              </w:rPr>
              <w:t>Data lifecycle</w:t>
            </w:r>
          </w:p>
        </w:tc>
        <w:tc>
          <w:tcPr>
            <w:tcW w:type="dxa" w:w="6696"/>
            <w:shd w:fill="EFF5F4"/>
            <w:tcMar>
              <w:top w:w="85" w:type="dxa"/>
              <w:left w:w="85" w:type="dxa"/>
              <w:bottom w:w="85" w:type="dxa"/>
              <w:right w:w="85" w:type="dxa"/>
            </w:tcMar>
          </w:tcPr>
          <w:p>
            <w:pPr>
              <w:spacing w:after="60" w:line="245" w:lineRule="auto"/>
            </w:pPr>
            <w:r>
              <w:rPr>
                <w:sz w:val="18"/>
              </w:rPr>
              <w:t>Correction/restriction affects next projection; export is complete for the defined product scope; primary/derived/runtime deletion and documented backup/provider limits verified.</w:t>
            </w:r>
          </w:p>
        </w:tc>
        <w:tc>
          <w:tcPr>
            <w:tcW w:type="dxa" w:w="1152"/>
            <w:shd w:fill="EFF5F4"/>
            <w:tcMar>
              <w:top w:w="85" w:type="dxa"/>
              <w:left w:w="85" w:type="dxa"/>
              <w:bottom w:w="85" w:type="dxa"/>
              <w:right w:w="85" w:type="dxa"/>
            </w:tcMar>
          </w:tcPr>
          <w:p>
            <w:pPr>
              <w:spacing w:after="60" w:line="245" w:lineRule="auto"/>
            </w:pPr>
            <w:r>
              <w:rPr>
                <w:sz w:val="18"/>
              </w:rPr>
              <w:t>George</w:t>
            </w:r>
          </w:p>
        </w:tc>
      </w:tr>
      <w:tr>
        <w:trPr>
          <w:cantSplit/>
        </w:trPr>
        <w:tc>
          <w:tcPr>
            <w:tcW w:type="dxa" w:w="1944"/>
            <w:shd w:fill="FFFFFF"/>
            <w:tcMar>
              <w:top w:w="85" w:type="dxa"/>
              <w:left w:w="85" w:type="dxa"/>
              <w:bottom w:w="85" w:type="dxa"/>
              <w:right w:w="85" w:type="dxa"/>
            </w:tcMar>
          </w:tcPr>
          <w:p>
            <w:pPr>
              <w:spacing w:after="60" w:line="245" w:lineRule="auto"/>
            </w:pPr>
            <w:r>
              <w:rPr>
                <w:sz w:val="18"/>
              </w:rPr>
              <w:t>Security and content safety</w:t>
            </w:r>
          </w:p>
        </w:tc>
        <w:tc>
          <w:tcPr>
            <w:tcW w:type="dxa" w:w="6696"/>
            <w:shd w:fill="FFFFFF"/>
            <w:tcMar>
              <w:top w:w="85" w:type="dxa"/>
              <w:left w:w="85" w:type="dxa"/>
              <w:bottom w:w="85" w:type="dxa"/>
              <w:right w:w="85" w:type="dxa"/>
            </w:tcMar>
          </w:tcPr>
          <w:p>
            <w:pPr>
              <w:spacing w:after="60" w:line="245" w:lineRule="auto"/>
            </w:pPr>
            <w:r>
              <w:rPr>
                <w:sz w:val="18"/>
              </w:rPr>
              <w:t>No unresolved critical/high exploitable findings, unapproved tool execution or diagnostic/sensitive inference. Injection and hostile artefact rendering cases fail safely.</w:t>
            </w:r>
          </w:p>
        </w:tc>
        <w:tc>
          <w:tcPr>
            <w:tcW w:type="dxa" w:w="1152"/>
            <w:shd w:fill="FFFFFF"/>
            <w:tcMar>
              <w:top w:w="85" w:type="dxa"/>
              <w:left w:w="85" w:type="dxa"/>
              <w:bottom w:w="85" w:type="dxa"/>
              <w:right w:w="85" w:type="dxa"/>
            </w:tcMar>
          </w:tcPr>
          <w:p>
            <w:pPr>
              <w:spacing w:after="60" w:line="245" w:lineRule="auto"/>
            </w:pPr>
            <w:r>
              <w:rPr>
                <w:sz w:val="18"/>
              </w:rPr>
              <w:t>Joint</w:t>
            </w:r>
          </w:p>
        </w:tc>
      </w:tr>
      <w:tr>
        <w:trPr>
          <w:cantSplit/>
        </w:trPr>
        <w:tc>
          <w:tcPr>
            <w:tcW w:type="dxa" w:w="1944"/>
            <w:shd w:fill="EFF5F4"/>
            <w:tcMar>
              <w:top w:w="85" w:type="dxa"/>
              <w:left w:w="85" w:type="dxa"/>
              <w:bottom w:w="85" w:type="dxa"/>
              <w:right w:w="85" w:type="dxa"/>
            </w:tcMar>
          </w:tcPr>
          <w:p>
            <w:pPr>
              <w:spacing w:after="60" w:line="245" w:lineRule="auto"/>
            </w:pPr>
            <w:r>
              <w:rPr>
                <w:sz w:val="18"/>
              </w:rPr>
              <w:t>Operations</w:t>
            </w:r>
          </w:p>
        </w:tc>
        <w:tc>
          <w:tcPr>
            <w:tcW w:type="dxa" w:w="6696"/>
            <w:shd w:fill="EFF5F4"/>
            <w:tcMar>
              <w:top w:w="85" w:type="dxa"/>
              <w:left w:w="85" w:type="dxa"/>
              <w:bottom w:w="85" w:type="dxa"/>
              <w:right w:w="85" w:type="dxa"/>
            </w:tcMar>
          </w:tcPr>
          <w:p>
            <w:pPr>
              <w:spacing w:after="60" w:line="245" w:lineRule="auto"/>
            </w:pPr>
            <w:r>
              <w:rPr>
                <w:sz w:val="18"/>
              </w:rPr>
              <w:t>Clean CI artefact, migration replay, rollback ≤15 min, restore ≤4h and backup recovery point ≤24h demonstrated or stricter existing policy retained.</w:t>
            </w:r>
          </w:p>
        </w:tc>
        <w:tc>
          <w:tcPr>
            <w:tcW w:type="dxa" w:w="1152"/>
            <w:shd w:fill="EFF5F4"/>
            <w:tcMar>
              <w:top w:w="85" w:type="dxa"/>
              <w:left w:w="85" w:type="dxa"/>
              <w:bottom w:w="85" w:type="dxa"/>
              <w:right w:w="85" w:type="dxa"/>
            </w:tcMar>
          </w:tcPr>
          <w:p>
            <w:pPr>
              <w:spacing w:after="60" w:line="245" w:lineRule="auto"/>
            </w:pPr>
            <w:r>
              <w:rPr>
                <w:sz w:val="18"/>
              </w:rPr>
              <w:t>George</w:t>
            </w:r>
          </w:p>
        </w:tc>
      </w:tr>
    </w:tbl>
    <w:p/>
    <w:p>
      <w:pPr>
        <w:pStyle w:val="Heading2"/>
      </w:pPr>
      <w:r>
        <w:t>Privacy and safety expectations</w:t>
      </w:r>
    </w:p>
    <w:p>
      <w:r>
        <w:t>André owns plain-language purpose, beta audience, notices and escalation copy; George owns enforceable minimisation, access, encryption in transit/at rest, secret handling and deletion implementation. Jointly document provider retention/routing, subprocessors, access and actual data flows before invites. Default beta to adults using non-clinical practical support. Do not intentionally collect diagnostic or highly sensitive records. Confirm any required privacy review for actual processing before admission.</w:t>
      </w:r>
    </w:p>
    <w:p>
      <w:r>
        <w:t>Safety rules must work independently of model compliance: prohibit external side effects, allow-list tools, validate outputs, escape artefacts and reject unsupported NPR mutations. Safety copy must not promise emergency monitoring. Record policy decisions using IDs and categories; avoid retaining raw personal narratives in analytics or incident evidence.</w:t>
      </w:r>
    </w:p>
    <w:p>
      <w:r>
        <w:br w:type="page"/>
      </w:r>
    </w:p>
    <w:p>
      <w:pPr>
        <w:pStyle w:val="Subtitle"/>
      </w:pPr>
      <w:r>
        <w:t>18 • OPERATIONS AND COST</w:t>
      </w:r>
    </w:p>
    <w:p>
      <w:pPr>
        <w:pStyle w:val="Heading1"/>
      </w:pPr>
      <w:r>
        <w:t>Reproducible locally, controlled in release</w:t>
      </w:r>
    </w:p>
    <w:p>
      <w:pPr>
        <w:pStyle w:val="Heading2"/>
      </w:pPr>
      <w:r>
        <w:t>Local and CI/CD contract</w:t>
      </w:r>
    </w:p>
    <w:p>
      <w:r>
        <w:t>README must take a fresh clone through pinned toolchain, lockfile install, non-secret .env.example, database setup/migrations, synthetic seed, mock run, tests and real-runtime opt-in. Document Docker/runtime versions only if required. No undocumented dashboard configuration or founder machine state. George proves this in G01 and repeats full-stack setup before G09.</w:t>
      </w:r>
    </w:p>
    <w:p>
      <w:r>
        <w:t>Each PR runs formatting/lint, types, relevant unit/contract tests, migration/isolation checks and a build; run critical E2E fixtures before merge. Protected main and review are the default. Preview uses synthetic data and separate secrets. Deploy only a clean CI artefact tied to commit and tests; never promote an untracked prebuilt bundle. Production promotion is recorded by George after joint gate approval.</w:t>
      </w:r>
    </w:p>
    <w:p>
      <w:r>
        <w:t>Keep local, preview/staging and beta data/secrets separate. Backward-compatible migrations precede application promotion. For a failing migration, stop rollout and use a rehearsed forward-fix/restore plan; do not assume code rollback reverses data changes. Monitor health/readiness, failed runs, latency, usage, deletion jobs and auth errors. Correlation IDs join product and runtime evidence.</w:t>
      </w:r>
    </w:p>
    <w:tbl>
      <w:tblPr>
        <w:tblW w:type="auto" w:w="0"/>
        <w:tblLayout w:type="fixed"/>
        <w:tblLook w:firstColumn="1" w:firstRow="1" w:lastColumn="0" w:lastRow="0" w:noHBand="0" w:noVBand="1" w:val="04A0"/>
      </w:tblPr>
      <w:tblGrid>
        <w:gridCol w:w="2088"/>
        <w:gridCol w:w="7704"/>
      </w:tblGrid>
      <w:tr>
        <w:trPr>
          <w:cantSplit/>
          <w:tblHeader/>
        </w:trPr>
        <w:tc>
          <w:tcPr>
            <w:tcW w:type="dxa" w:w="4917"/>
            <w:shd w:fill="163C43"/>
            <w:tcMar>
              <w:top w:w="85" w:type="dxa"/>
              <w:left w:w="85" w:type="dxa"/>
              <w:bottom w:w="85" w:type="dxa"/>
              <w:right w:w="85" w:type="dxa"/>
            </w:tcMar>
          </w:tcPr>
          <w:p>
            <w:pPr>
              <w:spacing w:after="60" w:line="245" w:lineRule="auto"/>
            </w:pPr>
            <w:r>
              <w:rPr>
                <w:b/>
                <w:color w:val="FFFFFF"/>
                <w:sz w:val="18"/>
              </w:rPr>
              <w:t>Control</w:t>
            </w:r>
          </w:p>
        </w:tc>
        <w:tc>
          <w:tcPr>
            <w:tcW w:type="dxa" w:w="4917"/>
            <w:shd w:fill="163C43"/>
            <w:tcMar>
              <w:top w:w="85" w:type="dxa"/>
              <w:left w:w="85" w:type="dxa"/>
              <w:bottom w:w="85" w:type="dxa"/>
              <w:right w:w="85" w:type="dxa"/>
            </w:tcMar>
          </w:tcPr>
          <w:p>
            <w:pPr>
              <w:spacing w:after="60" w:line="245" w:lineRule="auto"/>
            </w:pPr>
            <w:r>
              <w:rPr>
                <w:b/>
                <w:color w:val="FFFFFF"/>
                <w:sz w:val="18"/>
              </w:rPr>
              <w:t>Proposed limit / action</w:t>
            </w:r>
          </w:p>
        </w:tc>
      </w:tr>
      <w:tr>
        <w:trPr>
          <w:cantSplit/>
        </w:trPr>
        <w:tc>
          <w:tcPr>
            <w:tcW w:type="dxa" w:w="2088"/>
            <w:shd w:fill="EFF5F4"/>
            <w:tcMar>
              <w:top w:w="85" w:type="dxa"/>
              <w:left w:w="85" w:type="dxa"/>
              <w:bottom w:w="85" w:type="dxa"/>
              <w:right w:w="85" w:type="dxa"/>
            </w:tcMar>
          </w:tcPr>
          <w:p>
            <w:pPr>
              <w:spacing w:after="60" w:line="245" w:lineRule="auto"/>
            </w:pPr>
            <w:r>
              <w:rPr>
                <w:sz w:val="18"/>
              </w:rPr>
              <w:t>Sprint operating budget</w:t>
            </w:r>
          </w:p>
        </w:tc>
        <w:tc>
          <w:tcPr>
            <w:tcW w:type="dxa" w:w="7704"/>
            <w:shd w:fill="EFF5F4"/>
            <w:tcMar>
              <w:top w:w="85" w:type="dxa"/>
              <w:left w:w="85" w:type="dxa"/>
              <w:bottom w:w="85" w:type="dxa"/>
              <w:right w:w="85" w:type="dxa"/>
            </w:tcMar>
          </w:tcPr>
          <w:p>
            <w:pPr>
              <w:spacing w:after="60" w:line="245" w:lineRule="auto"/>
            </w:pPr>
            <w:r>
              <w:rPr>
                <w:sz w:val="18"/>
              </w:rPr>
              <w:t>£150 total incremental cloud/model/tool spend, excluding people and historic liabilities; André approves the actual ceiling by 07 September. No new spend without an adopted budget.</w:t>
            </w:r>
          </w:p>
        </w:tc>
      </w:tr>
      <w:tr>
        <w:trPr>
          <w:cantSplit/>
        </w:trPr>
        <w:tc>
          <w:tcPr>
            <w:tcW w:type="dxa" w:w="2088"/>
            <w:shd w:fill="FFFFFF"/>
            <w:tcMar>
              <w:top w:w="85" w:type="dxa"/>
              <w:left w:w="85" w:type="dxa"/>
              <w:bottom w:w="85" w:type="dxa"/>
              <w:right w:w="85" w:type="dxa"/>
            </w:tcMar>
          </w:tcPr>
          <w:p>
            <w:pPr>
              <w:spacing w:after="60" w:line="245" w:lineRule="auto"/>
            </w:pPr>
            <w:r>
              <w:rPr>
                <w:sz w:val="18"/>
              </w:rPr>
              <w:t>Runtime request limits</w:t>
            </w:r>
          </w:p>
        </w:tc>
        <w:tc>
          <w:tcPr>
            <w:tcW w:type="dxa" w:w="7704"/>
            <w:shd w:fill="FFFFFF"/>
            <w:tcMar>
              <w:top w:w="85" w:type="dxa"/>
              <w:left w:w="85" w:type="dxa"/>
              <w:bottom w:w="85" w:type="dxa"/>
              <w:right w:w="85" w:type="dxa"/>
            </w:tcMar>
          </w:tcPr>
          <w:p>
            <w:pPr>
              <w:spacing w:after="60" w:line="245" w:lineRule="auto"/>
            </w:pPr>
            <w:r>
              <w:rPr>
                <w:sz w:val="18"/>
              </w:rPr>
              <w:t>Default 1 active run/user; 20 live runs/user/day; 5 concurrent runs overall. Cap input/context and output tokens per scenario; benchmark and set exact token limits by G04.</w:t>
            </w:r>
          </w:p>
        </w:tc>
      </w:tr>
      <w:tr>
        <w:trPr>
          <w:cantSplit/>
        </w:trPr>
        <w:tc>
          <w:tcPr>
            <w:tcW w:type="dxa" w:w="2088"/>
            <w:shd w:fill="EFF5F4"/>
            <w:tcMar>
              <w:top w:w="85" w:type="dxa"/>
              <w:left w:w="85" w:type="dxa"/>
              <w:bottom w:w="85" w:type="dxa"/>
              <w:right w:w="85" w:type="dxa"/>
            </w:tcMar>
          </w:tcPr>
          <w:p>
            <w:pPr>
              <w:spacing w:after="60" w:line="245" w:lineRule="auto"/>
            </w:pPr>
            <w:r>
              <w:rPr>
                <w:sz w:val="18"/>
              </w:rPr>
              <w:t>Daily spend</w:t>
            </w:r>
          </w:p>
        </w:tc>
        <w:tc>
          <w:tcPr>
            <w:tcW w:type="dxa" w:w="7704"/>
            <w:shd w:fill="EFF5F4"/>
            <w:tcMar>
              <w:top w:w="85" w:type="dxa"/>
              <w:left w:w="85" w:type="dxa"/>
              <w:bottom w:w="85" w:type="dxa"/>
              <w:right w:w="85" w:type="dxa"/>
            </w:tcMar>
          </w:tcPr>
          <w:p>
            <w:pPr>
              <w:spacing w:after="60" w:line="245" w:lineRule="auto"/>
            </w:pPr>
            <w:r>
              <w:rPr>
                <w:sz w:val="18"/>
              </w:rPr>
              <w:t>£5 live-runtime/day proposed hard application budget. Reserve estimated maximum run cost before dispatch; reconcile actual usage. Provider billing alerts alone are not hard caps.</w:t>
            </w:r>
          </w:p>
        </w:tc>
      </w:tr>
      <w:tr>
        <w:trPr>
          <w:cantSplit/>
        </w:trPr>
        <w:tc>
          <w:tcPr>
            <w:tcW w:type="dxa" w:w="2088"/>
            <w:shd w:fill="FFFFFF"/>
            <w:tcMar>
              <w:top w:w="85" w:type="dxa"/>
              <w:left w:w="85" w:type="dxa"/>
              <w:bottom w:w="85" w:type="dxa"/>
              <w:right w:w="85" w:type="dxa"/>
            </w:tcMar>
          </w:tcPr>
          <w:p>
            <w:pPr>
              <w:spacing w:after="60" w:line="245" w:lineRule="auto"/>
            </w:pPr>
            <w:r>
              <w:rPr>
                <w:sz w:val="18"/>
              </w:rPr>
              <w:t>Alert and stop</w:t>
            </w:r>
          </w:p>
        </w:tc>
        <w:tc>
          <w:tcPr>
            <w:tcW w:type="dxa" w:w="7704"/>
            <w:shd w:fill="FFFFFF"/>
            <w:tcMar>
              <w:top w:w="85" w:type="dxa"/>
              <w:left w:w="85" w:type="dxa"/>
              <w:bottom w:w="85" w:type="dxa"/>
              <w:right w:w="85" w:type="dxa"/>
            </w:tcMar>
          </w:tcPr>
          <w:p>
            <w:pPr>
              <w:spacing w:after="60" w:line="245" w:lineRule="auto"/>
            </w:pPr>
            <w:r>
              <w:rPr>
                <w:sz w:val="18"/>
              </w:rPr>
              <w:t>At 50% budget: review. At 80%: stop optional evaluations. At 100%: disable new paid runs until approved budget change; preserve user state and display unavailability.</w:t>
            </w:r>
          </w:p>
        </w:tc>
      </w:tr>
      <w:tr>
        <w:trPr>
          <w:cantSplit/>
        </w:trPr>
        <w:tc>
          <w:tcPr>
            <w:tcW w:type="dxa" w:w="2088"/>
            <w:shd w:fill="EFF5F4"/>
            <w:tcMar>
              <w:top w:w="85" w:type="dxa"/>
              <w:left w:w="85" w:type="dxa"/>
              <w:bottom w:w="85" w:type="dxa"/>
              <w:right w:w="85" w:type="dxa"/>
            </w:tcMar>
          </w:tcPr>
          <w:p>
            <w:pPr>
              <w:spacing w:after="60" w:line="245" w:lineRule="auto"/>
            </w:pPr>
            <w:r>
              <w:rPr>
                <w:sz w:val="18"/>
              </w:rPr>
              <w:t>Resource ownership</w:t>
            </w:r>
          </w:p>
        </w:tc>
        <w:tc>
          <w:tcPr>
            <w:tcW w:type="dxa" w:w="7704"/>
            <w:shd w:fill="EFF5F4"/>
            <w:tcMar>
              <w:top w:w="85" w:type="dxa"/>
              <w:left w:w="85" w:type="dxa"/>
              <w:bottom w:w="85" w:type="dxa"/>
              <w:right w:w="85" w:type="dxa"/>
            </w:tcMar>
          </w:tcPr>
          <w:p>
            <w:pPr>
              <w:spacing w:after="60" w:line="245" w:lineRule="auto"/>
            </w:pPr>
            <w:r>
              <w:rPr>
                <w:sz w:val="18"/>
              </w:rPr>
              <w:t>Every resource records owner, purpose, environment, budget, expiry/shutdown and deletion date. No persistent speculative infrastructure.</w:t>
            </w:r>
          </w:p>
        </w:tc>
      </w:tr>
      <w:tr>
        <w:trPr>
          <w:cantSplit/>
        </w:trPr>
        <w:tc>
          <w:tcPr>
            <w:tcW w:type="dxa" w:w="2088"/>
            <w:shd w:fill="FFFFFF"/>
            <w:tcMar>
              <w:top w:w="85" w:type="dxa"/>
              <w:left w:w="85" w:type="dxa"/>
              <w:bottom w:w="85" w:type="dxa"/>
              <w:right w:w="85" w:type="dxa"/>
            </w:tcMar>
          </w:tcPr>
          <w:p>
            <w:pPr>
              <w:spacing w:after="60" w:line="245" w:lineRule="auto"/>
            </w:pPr>
            <w:r>
              <w:rPr>
                <w:sz w:val="18"/>
              </w:rPr>
              <w:t>Azure cleanup</w:t>
            </w:r>
          </w:p>
        </w:tc>
        <w:tc>
          <w:tcPr>
            <w:tcW w:type="dxa" w:w="7704"/>
            <w:shd w:fill="FFFFFF"/>
            <w:tcMar>
              <w:top w:w="85" w:type="dxa"/>
              <w:left w:w="85" w:type="dxa"/>
              <w:bottom w:w="85" w:type="dxa"/>
              <w:right w:w="85" w:type="dxa"/>
            </w:tcMar>
          </w:tcPr>
          <w:p>
            <w:pPr>
              <w:spacing w:after="60" w:line="245" w:lineRule="auto"/>
            </w:pPr>
            <w:r>
              <w:rPr>
                <w:sz w:val="18"/>
              </w:rPr>
              <w:t>George inventories resources by 09 September; André identifies needed data. Preserve needed assets, remove unused services/endpoints and verify residual storage/network charges. Record closure/billing evidence, not merely “suspended”.</w:t>
            </w:r>
          </w:p>
        </w:tc>
      </w:tr>
      <w:tr>
        <w:trPr>
          <w:cantSplit/>
        </w:trPr>
        <w:tc>
          <w:tcPr>
            <w:tcW w:type="dxa" w:w="2088"/>
            <w:shd w:fill="EFF5F4"/>
            <w:tcMar>
              <w:top w:w="85" w:type="dxa"/>
              <w:left w:w="85" w:type="dxa"/>
              <w:bottom w:w="85" w:type="dxa"/>
              <w:right w:w="85" w:type="dxa"/>
            </w:tcMar>
          </w:tcPr>
          <w:p>
            <w:pPr>
              <w:spacing w:after="60" w:line="245" w:lineRule="auto"/>
            </w:pPr>
            <w:r>
              <w:rPr>
                <w:sz w:val="18"/>
              </w:rPr>
              <w:t>AWS discussion</w:t>
            </w:r>
          </w:p>
        </w:tc>
        <w:tc>
          <w:tcPr>
            <w:tcW w:type="dxa" w:w="7704"/>
            <w:shd w:fill="EFF5F4"/>
            <w:tcMar>
              <w:top w:w="85" w:type="dxa"/>
              <w:left w:w="85" w:type="dxa"/>
              <w:bottom w:w="85" w:type="dxa"/>
              <w:right w:w="85" w:type="dxa"/>
            </w:tcMar>
          </w:tcPr>
          <w:p>
            <w:pPr>
              <w:spacing w:after="60" w:line="245" w:lineRule="auto"/>
            </w:pPr>
            <w:r>
              <w:rPr>
                <w:sz w:val="18"/>
              </w:rPr>
              <w:t>Prepare current neutral topology, data classes, expected beta load and ceiling. Credits/support are optional upside, never a critical-path assumption or reason to migrate.</w:t>
            </w:r>
          </w:p>
        </w:tc>
      </w:tr>
    </w:tbl>
    <w:p/>
    <w:p>
      <w:r>
        <w:t>Incident cover: George leads technical triage; André handles user communication and admission pause. Before invitations, record actual contact channel and coverage hours. At a privacy/isolation incident, disable affected access/runs immediately, preserve minimal evidence, investigate and follow the agreed response process. After release, review health and cost daily for the first working week.</w:t>
      </w:r>
    </w:p>
    <w:p>
      <w:r>
        <w:br w:type="page"/>
      </w:r>
    </w:p>
    <w:p>
      <w:pPr>
        <w:pStyle w:val="Subtitle"/>
      </w:pPr>
      <w:r>
        <w:t>19 • ADR REGISTER</w:t>
      </w:r>
    </w:p>
    <w:p>
      <w:pPr>
        <w:pStyle w:val="Heading1"/>
      </w:pPr>
      <w:r>
        <w:t>Decisions with owners and consequences</w:t>
      </w:r>
    </w:p>
    <w:p>
      <w:r>
        <w:t>Preserve existing ADR IDs. The namespace below avoids colliding with the 26 August PRD’s ADR-001–010. Each accepted record must include date, status, context, decision, alternatives, consequences, evidence, owner/reviewer and superseded links. No row below implies that acceptance has already occurred.</w:t>
      </w:r>
    </w:p>
    <w:tbl>
      <w:tblPr>
        <w:tblW w:type="auto" w:w="0"/>
        <w:tblLayout w:type="fixed"/>
        <w:tblLook w:firstColumn="1" w:firstRow="1" w:lastColumn="0" w:lastRow="0" w:noHBand="0" w:noVBand="1" w:val="04A0"/>
      </w:tblPr>
      <w:tblGrid>
        <w:gridCol w:w="1584"/>
        <w:gridCol w:w="4032"/>
        <w:gridCol w:w="4176"/>
      </w:tblGrid>
      <w:tr>
        <w:trPr>
          <w:cantSplit/>
          <w:tblHeader/>
        </w:trPr>
        <w:tc>
          <w:tcPr>
            <w:tcW w:type="dxa" w:w="3278"/>
            <w:shd w:fill="163C43"/>
            <w:tcMar>
              <w:top w:w="85" w:type="dxa"/>
              <w:left w:w="85" w:type="dxa"/>
              <w:bottom w:w="85" w:type="dxa"/>
              <w:right w:w="85" w:type="dxa"/>
            </w:tcMar>
          </w:tcPr>
          <w:p>
            <w:pPr>
              <w:spacing w:after="60" w:line="245" w:lineRule="auto"/>
            </w:pPr>
            <w:r>
              <w:rPr>
                <w:b/>
                <w:color w:val="FFFFFF"/>
                <w:sz w:val="18"/>
              </w:rPr>
              <w:t>ID / due</w:t>
            </w:r>
          </w:p>
        </w:tc>
        <w:tc>
          <w:tcPr>
            <w:tcW w:type="dxa" w:w="3278"/>
            <w:shd w:fill="163C43"/>
            <w:tcMar>
              <w:top w:w="85" w:type="dxa"/>
              <w:left w:w="85" w:type="dxa"/>
              <w:bottom w:w="85" w:type="dxa"/>
              <w:right w:w="85" w:type="dxa"/>
            </w:tcMar>
          </w:tcPr>
          <w:p>
            <w:pPr>
              <w:spacing w:after="60" w:line="245" w:lineRule="auto"/>
            </w:pPr>
            <w:r>
              <w:rPr>
                <w:b/>
                <w:color w:val="FFFFFF"/>
                <w:sz w:val="18"/>
              </w:rPr>
              <w:t>Proposed decision and rationale</w:t>
            </w:r>
          </w:p>
        </w:tc>
        <w:tc>
          <w:tcPr>
            <w:tcW w:type="dxa" w:w="3278"/>
            <w:shd w:fill="163C43"/>
            <w:tcMar>
              <w:top w:w="85" w:type="dxa"/>
              <w:left w:w="85" w:type="dxa"/>
              <w:bottom w:w="85" w:type="dxa"/>
              <w:right w:w="85" w:type="dxa"/>
            </w:tcMar>
          </w:tcPr>
          <w:p>
            <w:pPr>
              <w:spacing w:after="60" w:line="245" w:lineRule="auto"/>
            </w:pPr>
            <w:r>
              <w:rPr>
                <w:b/>
                <w:color w:val="FFFFFF"/>
                <w:sz w:val="18"/>
              </w:rPr>
              <w:t>Alternative / consequence / revisit</w:t>
            </w:r>
          </w:p>
        </w:tc>
      </w:tr>
      <w:tr>
        <w:trPr>
          <w:cantSplit/>
        </w:trPr>
        <w:tc>
          <w:tcPr>
            <w:tcW w:type="dxa" w:w="1584"/>
            <w:shd w:fill="EFF5F4"/>
            <w:tcMar>
              <w:top w:w="85" w:type="dxa"/>
              <w:left w:w="85" w:type="dxa"/>
              <w:bottom w:w="85" w:type="dxa"/>
              <w:right w:w="85" w:type="dxa"/>
            </w:tcMar>
          </w:tcPr>
          <w:p>
            <w:pPr>
              <w:spacing w:after="60" w:line="245" w:lineRule="auto"/>
            </w:pPr>
            <w:r>
              <w:rPr>
                <w:sz w:val="18"/>
              </w:rPr>
              <w:t>V01-001</w:t>
              <w:br/>
              <w:t>G01</w:t>
              <w:br/>
              <w:t>André + George</w:t>
            </w:r>
          </w:p>
        </w:tc>
        <w:tc>
          <w:tcPr>
            <w:tcW w:type="dxa" w:w="4032"/>
            <w:shd w:fill="EFF5F4"/>
            <w:tcMar>
              <w:top w:w="85" w:type="dxa"/>
              <w:left w:w="85" w:type="dxa"/>
              <w:bottom w:w="85" w:type="dxa"/>
              <w:right w:w="85" w:type="dxa"/>
            </w:tcMar>
          </w:tcPr>
          <w:p>
            <w:pPr>
              <w:spacing w:after="60" w:line="245" w:lineRule="auto"/>
            </w:pPr>
            <w:r>
              <w:rPr>
                <w:sz w:val="18"/>
              </w:rPr>
              <w:t>Canonical source hierarchy: versioned behaviour/ADRs and pinned Figma refs. Resolve Page 7 and repository ambiguity.</w:t>
            </w:r>
          </w:p>
        </w:tc>
        <w:tc>
          <w:tcPr>
            <w:tcW w:type="dxa" w:w="4176"/>
            <w:shd w:fill="EFF5F4"/>
            <w:tcMar>
              <w:top w:w="85" w:type="dxa"/>
              <w:left w:w="85" w:type="dxa"/>
              <w:bottom w:w="85" w:type="dxa"/>
              <w:right w:w="85" w:type="dxa"/>
            </w:tcMar>
          </w:tcPr>
          <w:p>
            <w:pPr>
              <w:spacing w:after="60" w:line="245" w:lineRule="auto"/>
            </w:pPr>
            <w:r>
              <w:rPr>
                <w:sz w:val="18"/>
              </w:rPr>
              <w:t>Alternative: ZIP/chat authority. Rejected as drift-prone. Revisit when documentation tooling changes.</w:t>
            </w:r>
          </w:p>
        </w:tc>
      </w:tr>
      <w:tr>
        <w:trPr>
          <w:cantSplit/>
        </w:trPr>
        <w:tc>
          <w:tcPr>
            <w:tcW w:type="dxa" w:w="1584"/>
            <w:shd w:fill="FFFFFF"/>
            <w:tcMar>
              <w:top w:w="85" w:type="dxa"/>
              <w:left w:w="85" w:type="dxa"/>
              <w:bottom w:w="85" w:type="dxa"/>
              <w:right w:w="85" w:type="dxa"/>
            </w:tcMar>
          </w:tcPr>
          <w:p>
            <w:pPr>
              <w:spacing w:after="60" w:line="245" w:lineRule="auto"/>
            </w:pPr>
            <w:r>
              <w:rPr>
                <w:sz w:val="18"/>
              </w:rPr>
              <w:t>V01-002</w:t>
              <w:br/>
              <w:t>G02</w:t>
              <w:br/>
              <w:t>George + André</w:t>
            </w:r>
          </w:p>
        </w:tc>
        <w:tc>
          <w:tcPr>
            <w:tcW w:type="dxa" w:w="4032"/>
            <w:shd w:fill="FFFFFF"/>
            <w:tcMar>
              <w:top w:w="85" w:type="dxa"/>
              <w:left w:w="85" w:type="dxa"/>
              <w:bottom w:w="85" w:type="dxa"/>
              <w:right w:w="85" w:type="dxa"/>
            </w:tcMar>
          </w:tcPr>
          <w:p>
            <w:pPr>
              <w:spacing w:after="60" w:line="245" w:lineRule="auto"/>
            </w:pPr>
            <w:r>
              <w:rPr>
                <w:sz w:val="18"/>
              </w:rPr>
              <w:t>Product-owned SupportRuntime boundary and capability declarations; no runtime-native domain objects.</w:t>
            </w:r>
          </w:p>
        </w:tc>
        <w:tc>
          <w:tcPr>
            <w:tcW w:type="dxa" w:w="4176"/>
            <w:shd w:fill="FFFFFF"/>
            <w:tcMar>
              <w:top w:w="85" w:type="dxa"/>
              <w:left w:w="85" w:type="dxa"/>
              <w:bottom w:w="85" w:type="dxa"/>
              <w:right w:w="85" w:type="dxa"/>
            </w:tcMar>
          </w:tcPr>
          <w:p>
            <w:pPr>
              <w:spacing w:after="60" w:line="245" w:lineRule="auto"/>
            </w:pPr>
            <w:r>
              <w:rPr>
                <w:sz w:val="18"/>
              </w:rPr>
              <w:t>Alternative: direct coupling. Small adapter cost buys substitution/testing. Revisit only on a demonstrated contract limitation.</w:t>
            </w:r>
          </w:p>
        </w:tc>
      </w:tr>
      <w:tr>
        <w:trPr>
          <w:cantSplit/>
        </w:trPr>
        <w:tc>
          <w:tcPr>
            <w:tcW w:type="dxa" w:w="1584"/>
            <w:shd w:fill="EFF5F4"/>
            <w:tcMar>
              <w:top w:w="85" w:type="dxa"/>
              <w:left w:w="85" w:type="dxa"/>
              <w:bottom w:w="85" w:type="dxa"/>
              <w:right w:w="85" w:type="dxa"/>
            </w:tcMar>
          </w:tcPr>
          <w:p>
            <w:pPr>
              <w:spacing w:after="60" w:line="245" w:lineRule="auto"/>
            </w:pPr>
            <w:r>
              <w:rPr>
                <w:sz w:val="18"/>
              </w:rPr>
              <w:t>V01-003</w:t>
              <w:br/>
              <w:t>G06</w:t>
              <w:br/>
              <w:t>Joint</w:t>
            </w:r>
          </w:p>
        </w:tc>
        <w:tc>
          <w:tcPr>
            <w:tcW w:type="dxa" w:w="4032"/>
            <w:shd w:fill="EFF5F4"/>
            <w:tcMar>
              <w:top w:w="85" w:type="dxa"/>
              <w:left w:w="85" w:type="dxa"/>
              <w:bottom w:w="85" w:type="dxa"/>
              <w:right w:w="85" w:type="dxa"/>
            </w:tcMar>
          </w:tcPr>
          <w:p>
            <w:pPr>
              <w:spacing w:after="60" w:line="245" w:lineRule="auto"/>
            </w:pPr>
            <w:r>
              <w:rPr>
                <w:sz w:val="18"/>
              </w:rPr>
              <w:t>FlowState remains baseline for real Work; direct-provider is comparative/fallback candidate. A switch requires equivalent workflow, policy, lifecycle and trace evidence.</w:t>
            </w:r>
          </w:p>
        </w:tc>
        <w:tc>
          <w:tcPr>
            <w:tcW w:type="dxa" w:w="4176"/>
            <w:shd w:fill="EFF5F4"/>
            <w:tcMar>
              <w:top w:w="85" w:type="dxa"/>
              <w:left w:w="85" w:type="dxa"/>
              <w:bottom w:w="85" w:type="dxa"/>
              <w:right w:w="85" w:type="dxa"/>
            </w:tcMar>
          </w:tcPr>
          <w:p>
            <w:pPr>
              <w:spacing w:after="60" w:line="245" w:lineRule="auto"/>
            </w:pPr>
            <w:r>
              <w:rPr>
                <w:sz w:val="18"/>
              </w:rPr>
              <w:t>Supersedes conflicting mandatory-runtime wording only if signed. Record cost/latency/utility, rights and privacy. Revisit on failure/cost/contract change.</w:t>
            </w:r>
          </w:p>
        </w:tc>
      </w:tr>
      <w:tr>
        <w:trPr>
          <w:cantSplit/>
        </w:trPr>
        <w:tc>
          <w:tcPr>
            <w:tcW w:type="dxa" w:w="1584"/>
            <w:shd w:fill="FFFFFF"/>
            <w:tcMar>
              <w:top w:w="85" w:type="dxa"/>
              <w:left w:w="85" w:type="dxa"/>
              <w:bottom w:w="85" w:type="dxa"/>
              <w:right w:w="85" w:type="dxa"/>
            </w:tcMar>
          </w:tcPr>
          <w:p>
            <w:pPr>
              <w:spacing w:after="60" w:line="245" w:lineRule="auto"/>
            </w:pPr>
            <w:r>
              <w:rPr>
                <w:sz w:val="18"/>
              </w:rPr>
              <w:t>V01-004</w:t>
              <w:br/>
              <w:t>G03</w:t>
              <w:br/>
              <w:t>George + André</w:t>
            </w:r>
          </w:p>
        </w:tc>
        <w:tc>
          <w:tcPr>
            <w:tcW w:type="dxa" w:w="4032"/>
            <w:shd w:fill="FFFFFF"/>
            <w:tcMar>
              <w:top w:w="85" w:type="dxa"/>
              <w:left w:w="85" w:type="dxa"/>
              <w:bottom w:w="85" w:type="dxa"/>
              <w:right w:w="85" w:type="dxa"/>
            </w:tcMar>
          </w:tcPr>
          <w:p>
            <w:pPr>
              <w:spacing w:after="60" w:line="245" w:lineRule="auto"/>
            </w:pPr>
            <w:r>
              <w:rPr>
                <w:sz w:val="18"/>
              </w:rPr>
              <w:t>Retain viable existing web/auth/data/hosting stack; select canonical commit and migration source.</w:t>
            </w:r>
          </w:p>
        </w:tc>
        <w:tc>
          <w:tcPr>
            <w:tcW w:type="dxa" w:w="4176"/>
            <w:shd w:fill="FFFFFF"/>
            <w:tcMar>
              <w:top w:w="85" w:type="dxa"/>
              <w:left w:w="85" w:type="dxa"/>
              <w:bottom w:w="85" w:type="dxa"/>
              <w:right w:w="85" w:type="dxa"/>
            </w:tcMar>
          </w:tcPr>
          <w:p>
            <w:pPr>
              <w:spacing w:after="60" w:line="245" w:lineRule="auto"/>
            </w:pPr>
            <w:r>
              <w:rPr>
                <w:sz w:val="18"/>
              </w:rPr>
              <w:t>Alternative: rewrite or cloud migration. Avoid schedule reset. Revisit if existing platform cannot meet isolation/recovery.</w:t>
            </w:r>
          </w:p>
        </w:tc>
      </w:tr>
      <w:tr>
        <w:trPr>
          <w:cantSplit/>
        </w:trPr>
        <w:tc>
          <w:tcPr>
            <w:tcW w:type="dxa" w:w="1584"/>
            <w:shd w:fill="EFF5F4"/>
            <w:tcMar>
              <w:top w:w="85" w:type="dxa"/>
              <w:left w:w="85" w:type="dxa"/>
              <w:bottom w:w="85" w:type="dxa"/>
              <w:right w:w="85" w:type="dxa"/>
            </w:tcMar>
          </w:tcPr>
          <w:p>
            <w:pPr>
              <w:spacing w:after="60" w:line="245" w:lineRule="auto"/>
            </w:pPr>
            <w:r>
              <w:rPr>
                <w:sz w:val="18"/>
              </w:rPr>
              <w:t>V01-005</w:t>
              <w:br/>
              <w:t>G04</w:t>
              <w:br/>
              <w:t>Joint</w:t>
            </w:r>
          </w:p>
        </w:tc>
        <w:tc>
          <w:tcPr>
            <w:tcW w:type="dxa" w:w="4032"/>
            <w:shd w:fill="EFF5F4"/>
            <w:tcMar>
              <w:top w:w="85" w:type="dxa"/>
              <w:left w:w="85" w:type="dxa"/>
              <w:bottom w:w="85" w:type="dxa"/>
              <w:right w:w="85" w:type="dxa"/>
            </w:tcMar>
          </w:tcPr>
          <w:p>
            <w:pPr>
              <w:spacing w:after="60" w:line="245" w:lineRule="auto"/>
            </w:pPr>
            <w:r>
              <w:rPr>
                <w:sz w:val="18"/>
              </w:rPr>
              <w:t>Canonical NPR separate from runtime memory; structured bounded context projection and governed lifecycle.</w:t>
            </w:r>
          </w:p>
        </w:tc>
        <w:tc>
          <w:tcPr>
            <w:tcW w:type="dxa" w:w="4176"/>
            <w:shd w:fill="EFF5F4"/>
            <w:tcMar>
              <w:top w:w="85" w:type="dxa"/>
              <w:left w:w="85" w:type="dxa"/>
              <w:bottom w:w="85" w:type="dxa"/>
              <w:right w:w="85" w:type="dxa"/>
            </w:tcMar>
          </w:tcPr>
          <w:p>
            <w:pPr>
              <w:spacing w:after="60" w:line="245" w:lineRule="auto"/>
            </w:pPr>
            <w:r>
              <w:rPr>
                <w:sz w:val="18"/>
              </w:rPr>
              <w:t>Alternative: browser profile or opaque runtime memory. Reject for control/portability. Revisit schema after beta evidence.</w:t>
            </w:r>
          </w:p>
        </w:tc>
      </w:tr>
      <w:tr>
        <w:trPr>
          <w:cantSplit/>
        </w:trPr>
        <w:tc>
          <w:tcPr>
            <w:tcW w:type="dxa" w:w="1584"/>
            <w:shd w:fill="FFFFFF"/>
            <w:tcMar>
              <w:top w:w="85" w:type="dxa"/>
              <w:left w:w="85" w:type="dxa"/>
              <w:bottom w:w="85" w:type="dxa"/>
              <w:right w:w="85" w:type="dxa"/>
            </w:tcMar>
          </w:tcPr>
          <w:p>
            <w:pPr>
              <w:spacing w:after="60" w:line="245" w:lineRule="auto"/>
            </w:pPr>
            <w:r>
              <w:rPr>
                <w:sz w:val="18"/>
              </w:rPr>
              <w:t>V01-006</w:t>
              <w:br/>
              <w:t>G02</w:t>
              <w:br/>
              <w:t>George + André</w:t>
            </w:r>
          </w:p>
        </w:tc>
        <w:tc>
          <w:tcPr>
            <w:tcW w:type="dxa" w:w="4032"/>
            <w:shd w:fill="FFFFFF"/>
            <w:tcMar>
              <w:top w:w="85" w:type="dxa"/>
              <w:left w:w="85" w:type="dxa"/>
              <w:bottom w:w="85" w:type="dxa"/>
              <w:right w:w="85" w:type="dxa"/>
            </w:tcMar>
          </w:tcPr>
          <w:p>
            <w:pPr>
              <w:spacing w:after="60" w:line="245" w:lineRule="auto"/>
            </w:pPr>
            <w:r>
              <w:rPr>
                <w:sz w:val="18"/>
              </w:rPr>
              <w:t>Ordered resumable events, idempotent writes, safe typed errors and capability-aware cancel/resume.</w:t>
            </w:r>
          </w:p>
        </w:tc>
        <w:tc>
          <w:tcPr>
            <w:tcW w:type="dxa" w:w="4176"/>
            <w:shd w:fill="FFFFFF"/>
            <w:tcMar>
              <w:top w:w="85" w:type="dxa"/>
              <w:left w:w="85" w:type="dxa"/>
              <w:bottom w:w="85" w:type="dxa"/>
              <w:right w:w="85" w:type="dxa"/>
            </w:tcMar>
          </w:tcPr>
          <w:p>
            <w:pPr>
              <w:spacing w:after="60" w:line="245" w:lineRule="auto"/>
            </w:pPr>
            <w:r>
              <w:rPr>
                <w:sz w:val="18"/>
              </w:rPr>
              <w:t>Alternative: transient UI stream only. Persisting status adds work but makes recovery testable. Revisit at G08 fault review.</w:t>
            </w:r>
          </w:p>
        </w:tc>
      </w:tr>
      <w:tr>
        <w:trPr>
          <w:cantSplit/>
        </w:trPr>
        <w:tc>
          <w:tcPr>
            <w:tcW w:type="dxa" w:w="1584"/>
            <w:shd w:fill="EFF5F4"/>
            <w:tcMar>
              <w:top w:w="85" w:type="dxa"/>
              <w:left w:w="85" w:type="dxa"/>
              <w:bottom w:w="85" w:type="dxa"/>
              <w:right w:w="85" w:type="dxa"/>
            </w:tcMar>
          </w:tcPr>
          <w:p>
            <w:pPr>
              <w:spacing w:after="60" w:line="245" w:lineRule="auto"/>
            </w:pPr>
            <w:r>
              <w:rPr>
                <w:sz w:val="18"/>
              </w:rPr>
              <w:t>V01-007</w:t>
              <w:br/>
              <w:t>G05</w:t>
              <w:br/>
              <w:t>Joint</w:t>
            </w:r>
          </w:p>
        </w:tc>
        <w:tc>
          <w:tcPr>
            <w:tcW w:type="dxa" w:w="4032"/>
            <w:shd w:fill="EFF5F4"/>
            <w:tcMar>
              <w:top w:w="85" w:type="dxa"/>
              <w:left w:w="85" w:type="dxa"/>
              <w:bottom w:w="85" w:type="dxa"/>
              <w:right w:w="85" w:type="dxa"/>
            </w:tcMar>
          </w:tcPr>
          <w:p>
            <w:pPr>
              <w:spacing w:after="60" w:line="245" w:lineRule="auto"/>
            </w:pPr>
            <w:r>
              <w:rPr>
                <w:sz w:val="18"/>
              </w:rPr>
              <w:t>One meeting-preparation workflow, explicit internal write intent, no external side effects.</w:t>
            </w:r>
          </w:p>
        </w:tc>
        <w:tc>
          <w:tcPr>
            <w:tcW w:type="dxa" w:w="4176"/>
            <w:shd w:fill="EFF5F4"/>
            <w:tcMar>
              <w:top w:w="85" w:type="dxa"/>
              <w:left w:w="85" w:type="dxa"/>
              <w:bottom w:w="85" w:type="dxa"/>
              <w:right w:w="85" w:type="dxa"/>
            </w:tcMar>
          </w:tcPr>
          <w:p>
            <w:pPr>
              <w:spacing w:after="60" w:line="245" w:lineRule="auto"/>
            </w:pPr>
            <w:r>
              <w:rPr>
                <w:sz w:val="18"/>
              </w:rPr>
              <w:t>Alternative: Research → Briefing or multiple workflows. Any switch replaces the one scenario; it never adds scope. Revisit after V0.1.</w:t>
            </w:r>
          </w:p>
        </w:tc>
      </w:tr>
      <w:tr>
        <w:trPr>
          <w:cantSplit/>
        </w:trPr>
        <w:tc>
          <w:tcPr>
            <w:tcW w:type="dxa" w:w="1584"/>
            <w:shd w:fill="FFFFFF"/>
            <w:tcMar>
              <w:top w:w="85" w:type="dxa"/>
              <w:left w:w="85" w:type="dxa"/>
              <w:bottom w:w="85" w:type="dxa"/>
              <w:right w:w="85" w:type="dxa"/>
            </w:tcMar>
          </w:tcPr>
          <w:p>
            <w:pPr>
              <w:spacing w:after="60" w:line="245" w:lineRule="auto"/>
            </w:pPr>
            <w:r>
              <w:rPr>
                <w:sz w:val="18"/>
              </w:rPr>
              <w:t>V01-008</w:t>
              <w:br/>
              <w:t>G08</w:t>
              <w:br/>
              <w:t>Joint</w:t>
            </w:r>
          </w:p>
        </w:tc>
        <w:tc>
          <w:tcPr>
            <w:tcW w:type="dxa" w:w="4032"/>
            <w:shd w:fill="FFFFFF"/>
            <w:tcMar>
              <w:top w:w="85" w:type="dxa"/>
              <w:left w:w="85" w:type="dxa"/>
              <w:bottom w:w="85" w:type="dxa"/>
              <w:right w:w="85" w:type="dxa"/>
            </w:tcMar>
          </w:tcPr>
          <w:p>
            <w:pPr>
              <w:spacing w:after="60" w:line="245" w:lineRule="auto"/>
            </w:pPr>
            <w:r>
              <w:rPr>
                <w:sz w:val="18"/>
              </w:rPr>
              <w:t>Adopt verified retention, provider-routing, deletion and beta-audience policy with enforcement.</w:t>
            </w:r>
          </w:p>
        </w:tc>
        <w:tc>
          <w:tcPr>
            <w:tcW w:type="dxa" w:w="4176"/>
            <w:shd w:fill="FFFFFF"/>
            <w:tcMar>
              <w:top w:w="85" w:type="dxa"/>
              <w:left w:w="85" w:type="dxa"/>
              <w:bottom w:w="85" w:type="dxa"/>
              <w:right w:w="85" w:type="dxa"/>
            </w:tcMar>
          </w:tcPr>
          <w:p>
            <w:pPr>
              <w:spacing w:after="60" w:line="245" w:lineRule="auto"/>
            </w:pPr>
            <w:r>
              <w:rPr>
                <w:sz w:val="18"/>
              </w:rPr>
              <w:t>Alternative: indefinite retention or unverified purge claims. Reject. Revisit on any new provider/data class.</w:t>
            </w:r>
          </w:p>
        </w:tc>
      </w:tr>
      <w:tr>
        <w:trPr>
          <w:cantSplit/>
        </w:trPr>
        <w:tc>
          <w:tcPr>
            <w:tcW w:type="dxa" w:w="1584"/>
            <w:shd w:fill="EFF5F4"/>
            <w:tcMar>
              <w:top w:w="85" w:type="dxa"/>
              <w:left w:w="85" w:type="dxa"/>
              <w:bottom w:w="85" w:type="dxa"/>
              <w:right w:w="85" w:type="dxa"/>
            </w:tcMar>
          </w:tcPr>
          <w:p>
            <w:pPr>
              <w:spacing w:after="60" w:line="245" w:lineRule="auto"/>
            </w:pPr>
            <w:r>
              <w:rPr>
                <w:sz w:val="18"/>
              </w:rPr>
              <w:t>V01-009</w:t>
              <w:br/>
              <w:t>G09</w:t>
              <w:br/>
              <w:t>George + André</w:t>
            </w:r>
          </w:p>
        </w:tc>
        <w:tc>
          <w:tcPr>
            <w:tcW w:type="dxa" w:w="4032"/>
            <w:shd w:fill="EFF5F4"/>
            <w:tcMar>
              <w:top w:w="85" w:type="dxa"/>
              <w:left w:w="85" w:type="dxa"/>
              <w:bottom w:w="85" w:type="dxa"/>
              <w:right w:w="85" w:type="dxa"/>
            </w:tcMar>
          </w:tcPr>
          <w:p>
            <w:pPr>
              <w:spacing w:after="60" w:line="245" w:lineRule="auto"/>
            </w:pPr>
            <w:r>
              <w:rPr>
                <w:sz w:val="18"/>
              </w:rPr>
              <w:t>Clean CI artefact promotion, compatible migrations and rehearsed rollback/restore.</w:t>
            </w:r>
          </w:p>
        </w:tc>
        <w:tc>
          <w:tcPr>
            <w:tcW w:type="dxa" w:w="4176"/>
            <w:shd w:fill="EFF5F4"/>
            <w:tcMar>
              <w:top w:w="85" w:type="dxa"/>
              <w:left w:w="85" w:type="dxa"/>
              <w:bottom w:w="85" w:type="dxa"/>
              <w:right w:w="85" w:type="dxa"/>
            </w:tcMar>
          </w:tcPr>
          <w:p>
            <w:pPr>
              <w:spacing w:after="60" w:line="245" w:lineRule="auto"/>
            </w:pPr>
            <w:r>
              <w:rPr>
                <w:sz w:val="18"/>
              </w:rPr>
              <w:t>Alternative: dirty local/prebuilt deploy. Reject. Revisit only with equivalent provenance proof.</w:t>
            </w:r>
          </w:p>
        </w:tc>
      </w:tr>
      <w:tr>
        <w:trPr>
          <w:cantSplit/>
        </w:trPr>
        <w:tc>
          <w:tcPr>
            <w:tcW w:type="dxa" w:w="1584"/>
            <w:shd w:fill="FFFFFF"/>
            <w:tcMar>
              <w:top w:w="85" w:type="dxa"/>
              <w:left w:w="85" w:type="dxa"/>
              <w:bottom w:w="85" w:type="dxa"/>
              <w:right w:w="85" w:type="dxa"/>
            </w:tcMar>
          </w:tcPr>
          <w:p>
            <w:pPr>
              <w:spacing w:after="60" w:line="245" w:lineRule="auto"/>
            </w:pPr>
            <w:r>
              <w:rPr>
                <w:sz w:val="18"/>
              </w:rPr>
              <w:t>V01-010</w:t>
              <w:br/>
              <w:t>07 Sep</w:t>
              <w:br/>
              <w:t>Joint</w:t>
            </w:r>
          </w:p>
        </w:tc>
        <w:tc>
          <w:tcPr>
            <w:tcW w:type="dxa" w:w="4032"/>
            <w:shd w:fill="FFFFFF"/>
            <w:tcMar>
              <w:top w:w="85" w:type="dxa"/>
              <w:left w:w="85" w:type="dxa"/>
              <w:bottom w:w="85" w:type="dxa"/>
              <w:right w:w="85" w:type="dxa"/>
            </w:tcMar>
          </w:tcPr>
          <w:p>
            <w:pPr>
              <w:spacing w:after="60" w:line="245" w:lineRule="auto"/>
            </w:pPr>
            <w:r>
              <w:rPr>
                <w:sz w:val="18"/>
              </w:rPr>
              <w:t>Confirm capacity, operating budget and measurable release thresholds; reserve defect buffer.</w:t>
            </w:r>
          </w:p>
        </w:tc>
        <w:tc>
          <w:tcPr>
            <w:tcW w:type="dxa" w:w="4176"/>
            <w:shd w:fill="FFFFFF"/>
            <w:tcMar>
              <w:top w:w="85" w:type="dxa"/>
              <w:left w:w="85" w:type="dxa"/>
              <w:bottom w:w="85" w:type="dxa"/>
              <w:right w:w="85" w:type="dxa"/>
            </w:tcMar>
          </w:tcPr>
          <w:p>
            <w:pPr>
              <w:spacing w:after="60" w:line="245" w:lineRule="auto"/>
            </w:pPr>
            <w:r>
              <w:rPr>
                <w:sz w:val="18"/>
              </w:rPr>
              <w:t>Alternative: assume full-time capacity/credits. Reject. Reforecast each Monday and at a missed gate.</w:t>
            </w:r>
          </w:p>
        </w:tc>
      </w:tr>
    </w:tbl>
    <w:p/>
    <w:p>
      <w:r>
        <w:t>Release records reference accepted ADR revisions. A changed decision must include impact on current code, tests, data, handoff and delivery date; a chat clarification becomes binding only after that update.</w:t>
      </w:r>
    </w:p>
    <w:p>
      <w:r>
        <w:br w:type="page"/>
      </w:r>
    </w:p>
    <w:p>
      <w:pPr>
        <w:pStyle w:val="Subtitle"/>
      </w:pPr>
      <w:r>
        <w:t>20 • RISKS AND CRITICAL PATH</w:t>
      </w:r>
    </w:p>
    <w:p>
      <w:pPr>
        <w:pStyle w:val="Heading1"/>
      </w:pPr>
      <w:r>
        <w:t>Escalate early; cut breadth deliberately</w:t>
      </w:r>
    </w:p>
    <w:tbl>
      <w:tblPr>
        <w:tblW w:type="auto" w:w="0"/>
        <w:tblLayout w:type="fixed"/>
        <w:tblLook w:firstColumn="1" w:firstRow="1" w:lastColumn="0" w:lastRow="0" w:noHBand="0" w:noVBand="1" w:val="04A0"/>
      </w:tblPr>
      <w:tblGrid>
        <w:gridCol w:w="2736"/>
        <w:gridCol w:w="5904"/>
        <w:gridCol w:w="1152"/>
      </w:tblGrid>
      <w:tr>
        <w:trPr>
          <w:cantSplit/>
          <w:tblHeader/>
        </w:trPr>
        <w:tc>
          <w:tcPr>
            <w:tcW w:type="dxa" w:w="3278"/>
            <w:shd w:fill="163C43"/>
            <w:tcMar>
              <w:top w:w="85" w:type="dxa"/>
              <w:left w:w="85" w:type="dxa"/>
              <w:bottom w:w="85" w:type="dxa"/>
              <w:right w:w="85" w:type="dxa"/>
            </w:tcMar>
          </w:tcPr>
          <w:p>
            <w:pPr>
              <w:spacing w:after="60" w:line="245" w:lineRule="auto"/>
            </w:pPr>
            <w:r>
              <w:rPr>
                <w:b/>
                <w:color w:val="FFFFFF"/>
                <w:sz w:val="18"/>
              </w:rPr>
              <w:t>Risk / likelihood × impact</w:t>
            </w:r>
          </w:p>
        </w:tc>
        <w:tc>
          <w:tcPr>
            <w:tcW w:type="dxa" w:w="3278"/>
            <w:shd w:fill="163C43"/>
            <w:tcMar>
              <w:top w:w="85" w:type="dxa"/>
              <w:left w:w="85" w:type="dxa"/>
              <w:bottom w:w="85" w:type="dxa"/>
              <w:right w:w="85" w:type="dxa"/>
            </w:tcMar>
          </w:tcPr>
          <w:p>
            <w:pPr>
              <w:spacing w:after="60" w:line="245" w:lineRule="auto"/>
            </w:pPr>
            <w:r>
              <w:rPr>
                <w:b/>
                <w:color w:val="FFFFFF"/>
                <w:sz w:val="18"/>
              </w:rPr>
              <w:t>Trigger and response</w:t>
            </w:r>
          </w:p>
        </w:tc>
        <w:tc>
          <w:tcPr>
            <w:tcW w:type="dxa" w:w="3278"/>
            <w:shd w:fill="163C43"/>
            <w:tcMar>
              <w:top w:w="85" w:type="dxa"/>
              <w:left w:w="85" w:type="dxa"/>
              <w:bottom w:w="85" w:type="dxa"/>
              <w:right w:w="85" w:type="dxa"/>
            </w:tcMar>
          </w:tcPr>
          <w:p>
            <w:pPr>
              <w:spacing w:after="60" w:line="245" w:lineRule="auto"/>
            </w:pPr>
            <w:r>
              <w:rPr>
                <w:b/>
                <w:color w:val="FFFFFF"/>
                <w:sz w:val="18"/>
              </w:rPr>
              <w:t>Owner</w:t>
            </w:r>
          </w:p>
        </w:tc>
      </w:tr>
      <w:tr>
        <w:trPr>
          <w:cantSplit/>
        </w:trPr>
        <w:tc>
          <w:tcPr>
            <w:tcW w:type="dxa" w:w="2736"/>
            <w:shd w:fill="EFF5F4"/>
            <w:tcMar>
              <w:top w:w="85" w:type="dxa"/>
              <w:left w:w="85" w:type="dxa"/>
              <w:bottom w:w="85" w:type="dxa"/>
              <w:right w:w="85" w:type="dxa"/>
            </w:tcMar>
          </w:tcPr>
          <w:p>
            <w:pPr>
              <w:spacing w:after="60" w:line="245" w:lineRule="auto"/>
            </w:pPr>
            <w:r>
              <w:rPr>
                <w:sz w:val="18"/>
              </w:rPr>
              <w:t>Capacity shortfall • H × H</w:t>
            </w:r>
          </w:p>
        </w:tc>
        <w:tc>
          <w:tcPr>
            <w:tcW w:type="dxa" w:w="5904"/>
            <w:shd w:fill="EFF5F4"/>
            <w:tcMar>
              <w:top w:w="85" w:type="dxa"/>
              <w:left w:w="85" w:type="dxa"/>
              <w:bottom w:w="85" w:type="dxa"/>
              <w:right w:w="85" w:type="dxa"/>
            </w:tcMar>
          </w:tcPr>
          <w:p>
            <w:pPr>
              <w:spacing w:after="60" w:line="245" w:lineRule="auto"/>
            </w:pPr>
            <w:r>
              <w:rPr>
                <w:sz w:val="18"/>
              </w:rPr>
              <w:t>Availability below 84 George hours or any critical gate &gt;1 working day late: re-estimate remaining work and cut optional scope immediately. Do not consume all recovery days.</w:t>
            </w:r>
          </w:p>
        </w:tc>
        <w:tc>
          <w:tcPr>
            <w:tcW w:type="dxa" w:w="1152"/>
            <w:shd w:fill="EFF5F4"/>
            <w:tcMar>
              <w:top w:w="85" w:type="dxa"/>
              <w:left w:w="85" w:type="dxa"/>
              <w:bottom w:w="85" w:type="dxa"/>
              <w:right w:w="85" w:type="dxa"/>
            </w:tcMar>
          </w:tcPr>
          <w:p>
            <w:pPr>
              <w:spacing w:after="60" w:line="245" w:lineRule="auto"/>
            </w:pPr>
            <w:r>
              <w:rPr>
                <w:sz w:val="18"/>
              </w:rPr>
              <w:t>Joint</w:t>
            </w:r>
          </w:p>
        </w:tc>
      </w:tr>
      <w:tr>
        <w:trPr>
          <w:cantSplit/>
        </w:trPr>
        <w:tc>
          <w:tcPr>
            <w:tcW w:type="dxa" w:w="2736"/>
            <w:shd w:fill="FFFFFF"/>
            <w:tcMar>
              <w:top w:w="85" w:type="dxa"/>
              <w:left w:w="85" w:type="dxa"/>
              <w:bottom w:w="85" w:type="dxa"/>
              <w:right w:w="85" w:type="dxa"/>
            </w:tcMar>
          </w:tcPr>
          <w:p>
            <w:pPr>
              <w:spacing w:after="60" w:line="245" w:lineRule="auto"/>
            </w:pPr>
            <w:r>
              <w:rPr>
                <w:sz w:val="18"/>
              </w:rPr>
              <w:t>Design/canon drift • H × H</w:t>
            </w:r>
          </w:p>
        </w:tc>
        <w:tc>
          <w:tcPr>
            <w:tcW w:type="dxa" w:w="5904"/>
            <w:shd w:fill="FFFFFF"/>
            <w:tcMar>
              <w:top w:w="85" w:type="dxa"/>
              <w:left w:w="85" w:type="dxa"/>
              <w:bottom w:w="85" w:type="dxa"/>
              <w:right w:w="85" w:type="dxa"/>
            </w:tcMar>
          </w:tcPr>
          <w:p>
            <w:pPr>
              <w:spacing w:after="60" w:line="245" w:lineRule="auto"/>
            </w:pPr>
            <w:r>
              <w:rPr>
                <w:sz w:val="18"/>
              </w:rPr>
              <w:t>Missing nodes or competing source claims: André resolves within one working day; George continues accepted work only. Lock per-increment handoff.</w:t>
            </w:r>
          </w:p>
        </w:tc>
        <w:tc>
          <w:tcPr>
            <w:tcW w:type="dxa" w:w="1152"/>
            <w:shd w:fill="FFFFFF"/>
            <w:tcMar>
              <w:top w:w="85" w:type="dxa"/>
              <w:left w:w="85" w:type="dxa"/>
              <w:bottom w:w="85" w:type="dxa"/>
              <w:right w:w="85" w:type="dxa"/>
            </w:tcMar>
          </w:tcPr>
          <w:p>
            <w:pPr>
              <w:spacing w:after="60" w:line="245" w:lineRule="auto"/>
            </w:pPr>
            <w:r>
              <w:rPr>
                <w:sz w:val="18"/>
              </w:rPr>
              <w:t>André</w:t>
            </w:r>
          </w:p>
        </w:tc>
      </w:tr>
      <w:tr>
        <w:trPr>
          <w:cantSplit/>
        </w:trPr>
        <w:tc>
          <w:tcPr>
            <w:tcW w:type="dxa" w:w="2736"/>
            <w:shd w:fill="EFF5F4"/>
            <w:tcMar>
              <w:top w:w="85" w:type="dxa"/>
              <w:left w:w="85" w:type="dxa"/>
              <w:bottom w:w="85" w:type="dxa"/>
              <w:right w:w="85" w:type="dxa"/>
            </w:tcMar>
          </w:tcPr>
          <w:p>
            <w:pPr>
              <w:spacing w:after="60" w:line="245" w:lineRule="auto"/>
            </w:pPr>
            <w:r>
              <w:rPr>
                <w:sz w:val="18"/>
              </w:rPr>
              <w:t>Legacy code/data debt • H × H</w:t>
            </w:r>
          </w:p>
        </w:tc>
        <w:tc>
          <w:tcPr>
            <w:tcW w:type="dxa" w:w="5904"/>
            <w:shd w:fill="EFF5F4"/>
            <w:tcMar>
              <w:top w:w="85" w:type="dxa"/>
              <w:left w:w="85" w:type="dxa"/>
              <w:bottom w:w="85" w:type="dxa"/>
              <w:right w:w="85" w:type="dxa"/>
            </w:tcMar>
          </w:tcPr>
          <w:p>
            <w:pPr>
              <w:spacing w:after="60" w:line="245" w:lineRule="auto"/>
            </w:pPr>
            <w:r>
              <w:rPr>
                <w:sz w:val="18"/>
              </w:rPr>
              <w:t>Clean clone, migration replay or root/IA audit fails: prioritise repair before adopting existing “ready” claims. Do not build atop unowned state.</w:t>
            </w:r>
          </w:p>
        </w:tc>
        <w:tc>
          <w:tcPr>
            <w:tcW w:type="dxa" w:w="1152"/>
            <w:shd w:fill="EFF5F4"/>
            <w:tcMar>
              <w:top w:w="85" w:type="dxa"/>
              <w:left w:w="85" w:type="dxa"/>
              <w:bottom w:w="85" w:type="dxa"/>
              <w:right w:w="85" w:type="dxa"/>
            </w:tcMar>
          </w:tcPr>
          <w:p>
            <w:pPr>
              <w:spacing w:after="60" w:line="245" w:lineRule="auto"/>
            </w:pPr>
            <w:r>
              <w:rPr>
                <w:sz w:val="18"/>
              </w:rPr>
              <w:t>George</w:t>
            </w:r>
          </w:p>
        </w:tc>
      </w:tr>
      <w:tr>
        <w:trPr>
          <w:cantSplit/>
        </w:trPr>
        <w:tc>
          <w:tcPr>
            <w:tcW w:type="dxa" w:w="2736"/>
            <w:shd w:fill="FFFFFF"/>
            <w:tcMar>
              <w:top w:w="85" w:type="dxa"/>
              <w:left w:w="85" w:type="dxa"/>
              <w:bottom w:w="85" w:type="dxa"/>
              <w:right w:w="85" w:type="dxa"/>
            </w:tcMar>
          </w:tcPr>
          <w:p>
            <w:pPr>
              <w:spacing w:after="60" w:line="245" w:lineRule="auto"/>
            </w:pPr>
            <w:r>
              <w:rPr>
                <w:sz w:val="18"/>
              </w:rPr>
              <w:t>FlowState blocked • M × H</w:t>
            </w:r>
          </w:p>
        </w:tc>
        <w:tc>
          <w:tcPr>
            <w:tcW w:type="dxa" w:w="5904"/>
            <w:shd w:fill="FFFFFF"/>
            <w:tcMar>
              <w:top w:w="85" w:type="dxa"/>
              <w:left w:w="85" w:type="dxa"/>
              <w:bottom w:w="85" w:type="dxa"/>
              <w:right w:w="85" w:type="dxa"/>
            </w:tcMar>
          </w:tcPr>
          <w:p>
            <w:pPr>
              <w:spacing w:after="60" w:line="245" w:lineRule="auto"/>
            </w:pPr>
            <w:r>
              <w:rPr>
                <w:sz w:val="18"/>
              </w:rPr>
              <w:t>Version, rights, access or contract unresolved by 22 Sep: time-box qualification; decide ADR-V01-003 by G06. Direct substitute must pass real workflow tests.</w:t>
            </w:r>
          </w:p>
        </w:tc>
        <w:tc>
          <w:tcPr>
            <w:tcW w:type="dxa" w:w="1152"/>
            <w:shd w:fill="FFFFFF"/>
            <w:tcMar>
              <w:top w:w="85" w:type="dxa"/>
              <w:left w:w="85" w:type="dxa"/>
              <w:bottom w:w="85" w:type="dxa"/>
              <w:right w:w="85" w:type="dxa"/>
            </w:tcMar>
          </w:tcPr>
          <w:p>
            <w:pPr>
              <w:spacing w:after="60" w:line="245" w:lineRule="auto"/>
            </w:pPr>
            <w:r>
              <w:rPr>
                <w:sz w:val="18"/>
              </w:rPr>
              <w:t>Joint</w:t>
            </w:r>
          </w:p>
        </w:tc>
      </w:tr>
      <w:tr>
        <w:trPr>
          <w:cantSplit/>
        </w:trPr>
        <w:tc>
          <w:tcPr>
            <w:tcW w:type="dxa" w:w="2736"/>
            <w:shd w:fill="EFF5F4"/>
            <w:tcMar>
              <w:top w:w="85" w:type="dxa"/>
              <w:left w:w="85" w:type="dxa"/>
              <w:bottom w:w="85" w:type="dxa"/>
              <w:right w:w="85" w:type="dxa"/>
            </w:tcMar>
          </w:tcPr>
          <w:p>
            <w:pPr>
              <w:spacing w:after="60" w:line="245" w:lineRule="auto"/>
            </w:pPr>
            <w:r>
              <w:rPr>
                <w:sz w:val="18"/>
              </w:rPr>
              <w:t>Privacy/isolation failure • M × H</w:t>
            </w:r>
          </w:p>
        </w:tc>
        <w:tc>
          <w:tcPr>
            <w:tcW w:type="dxa" w:w="5904"/>
            <w:shd w:fill="EFF5F4"/>
            <w:tcMar>
              <w:top w:w="85" w:type="dxa"/>
              <w:left w:w="85" w:type="dxa"/>
              <w:bottom w:w="85" w:type="dxa"/>
              <w:right w:w="85" w:type="dxa"/>
            </w:tcMar>
          </w:tcPr>
          <w:p>
            <w:pPr>
              <w:spacing w:after="60" w:line="245" w:lineRule="auto"/>
            </w:pPr>
            <w:r>
              <w:rPr>
                <w:sz w:val="18"/>
              </w:rPr>
              <w:t>Any cross-user exposure, stale deleted context or secret leakage: stop admission/deploy; remediate and rerun full affected security/lifecycle suite.</w:t>
            </w:r>
          </w:p>
        </w:tc>
        <w:tc>
          <w:tcPr>
            <w:tcW w:type="dxa" w:w="1152"/>
            <w:shd w:fill="EFF5F4"/>
            <w:tcMar>
              <w:top w:w="85" w:type="dxa"/>
              <w:left w:w="85" w:type="dxa"/>
              <w:bottom w:w="85" w:type="dxa"/>
              <w:right w:w="85" w:type="dxa"/>
            </w:tcMar>
          </w:tcPr>
          <w:p>
            <w:pPr>
              <w:spacing w:after="60" w:line="245" w:lineRule="auto"/>
            </w:pPr>
            <w:r>
              <w:rPr>
                <w:sz w:val="18"/>
              </w:rPr>
              <w:t>George</w:t>
            </w:r>
          </w:p>
        </w:tc>
      </w:tr>
      <w:tr>
        <w:trPr>
          <w:cantSplit/>
        </w:trPr>
        <w:tc>
          <w:tcPr>
            <w:tcW w:type="dxa" w:w="2736"/>
            <w:shd w:fill="FFFFFF"/>
            <w:tcMar>
              <w:top w:w="85" w:type="dxa"/>
              <w:left w:w="85" w:type="dxa"/>
              <w:bottom w:w="85" w:type="dxa"/>
              <w:right w:w="85" w:type="dxa"/>
            </w:tcMar>
          </w:tcPr>
          <w:p>
            <w:pPr>
              <w:spacing w:after="60" w:line="245" w:lineRule="auto"/>
            </w:pPr>
            <w:r>
              <w:rPr>
                <w:sz w:val="18"/>
              </w:rPr>
              <w:t>Context learning harms trust • M × H</w:t>
            </w:r>
          </w:p>
        </w:tc>
        <w:tc>
          <w:tcPr>
            <w:tcW w:type="dxa" w:w="5904"/>
            <w:shd w:fill="FFFFFF"/>
            <w:tcMar>
              <w:top w:w="85" w:type="dxa"/>
              <w:left w:w="85" w:type="dxa"/>
              <w:bottom w:w="85" w:type="dxa"/>
              <w:right w:w="85" w:type="dxa"/>
            </w:tcMar>
          </w:tcPr>
          <w:p>
            <w:pPr>
              <w:spacing w:after="60" w:line="245" w:lineRule="auto"/>
            </w:pPr>
            <w:r>
              <w:rPr>
                <w:sz w:val="18"/>
              </w:rPr>
              <w:t>Unsupported inference, silent update or rejected proposal used: disable learning mutation, fix policy and prove confirm/reject before beta.</w:t>
            </w:r>
          </w:p>
        </w:tc>
        <w:tc>
          <w:tcPr>
            <w:tcW w:type="dxa" w:w="1152"/>
            <w:shd w:fill="FFFFFF"/>
            <w:tcMar>
              <w:top w:w="85" w:type="dxa"/>
              <w:left w:w="85" w:type="dxa"/>
              <w:bottom w:w="85" w:type="dxa"/>
              <w:right w:w="85" w:type="dxa"/>
            </w:tcMar>
          </w:tcPr>
          <w:p>
            <w:pPr>
              <w:spacing w:after="60" w:line="245" w:lineRule="auto"/>
            </w:pPr>
            <w:r>
              <w:rPr>
                <w:sz w:val="18"/>
              </w:rPr>
              <w:t>Joint</w:t>
            </w:r>
          </w:p>
        </w:tc>
      </w:tr>
      <w:tr>
        <w:trPr>
          <w:cantSplit/>
        </w:trPr>
        <w:tc>
          <w:tcPr>
            <w:tcW w:type="dxa" w:w="2736"/>
            <w:shd w:fill="EFF5F4"/>
            <w:tcMar>
              <w:top w:w="85" w:type="dxa"/>
              <w:left w:w="85" w:type="dxa"/>
              <w:bottom w:w="85" w:type="dxa"/>
              <w:right w:w="85" w:type="dxa"/>
            </w:tcMar>
          </w:tcPr>
          <w:p>
            <w:pPr>
              <w:spacing w:after="60" w:line="245" w:lineRule="auto"/>
            </w:pPr>
            <w:r>
              <w:rPr>
                <w:sz w:val="18"/>
              </w:rPr>
              <w:t>Costs/idle resources • M × M</w:t>
            </w:r>
          </w:p>
        </w:tc>
        <w:tc>
          <w:tcPr>
            <w:tcW w:type="dxa" w:w="5904"/>
            <w:shd w:fill="EFF5F4"/>
            <w:tcMar>
              <w:top w:w="85" w:type="dxa"/>
              <w:left w:w="85" w:type="dxa"/>
              <w:bottom w:w="85" w:type="dxa"/>
              <w:right w:w="85" w:type="dxa"/>
            </w:tcMar>
          </w:tcPr>
          <w:p>
            <w:pPr>
              <w:spacing w:after="60" w:line="245" w:lineRule="auto"/>
            </w:pPr>
            <w:r>
              <w:rPr>
                <w:sz w:val="18"/>
              </w:rPr>
              <w:t>Budget threshold or residual Azure charges: stop optional calls, decommission unused resources, reconcile billing. No reliance on credits.</w:t>
            </w:r>
          </w:p>
        </w:tc>
        <w:tc>
          <w:tcPr>
            <w:tcW w:type="dxa" w:w="1152"/>
            <w:shd w:fill="EFF5F4"/>
            <w:tcMar>
              <w:top w:w="85" w:type="dxa"/>
              <w:left w:w="85" w:type="dxa"/>
              <w:bottom w:w="85" w:type="dxa"/>
              <w:right w:w="85" w:type="dxa"/>
            </w:tcMar>
          </w:tcPr>
          <w:p>
            <w:pPr>
              <w:spacing w:after="60" w:line="245" w:lineRule="auto"/>
            </w:pPr>
            <w:r>
              <w:rPr>
                <w:sz w:val="18"/>
              </w:rPr>
              <w:t>André</w:t>
            </w:r>
          </w:p>
        </w:tc>
      </w:tr>
      <w:tr>
        <w:trPr>
          <w:cantSplit/>
        </w:trPr>
        <w:tc>
          <w:tcPr>
            <w:tcW w:type="dxa" w:w="2736"/>
            <w:shd w:fill="FFFFFF"/>
            <w:tcMar>
              <w:top w:w="85" w:type="dxa"/>
              <w:left w:w="85" w:type="dxa"/>
              <w:bottom w:w="85" w:type="dxa"/>
              <w:right w:w="85" w:type="dxa"/>
            </w:tcMar>
          </w:tcPr>
          <w:p>
            <w:pPr>
              <w:spacing w:after="60" w:line="245" w:lineRule="auto"/>
            </w:pPr>
            <w:r>
              <w:rPr>
                <w:sz w:val="18"/>
              </w:rPr>
              <w:t>Unreproducible release • M × H</w:t>
            </w:r>
          </w:p>
        </w:tc>
        <w:tc>
          <w:tcPr>
            <w:tcW w:type="dxa" w:w="5904"/>
            <w:shd w:fill="FFFFFF"/>
            <w:tcMar>
              <w:top w:w="85" w:type="dxa"/>
              <w:left w:w="85" w:type="dxa"/>
              <w:bottom w:w="85" w:type="dxa"/>
              <w:right w:w="85" w:type="dxa"/>
            </w:tcMar>
          </w:tcPr>
          <w:p>
            <w:pPr>
              <w:spacing w:after="60" w:line="245" w:lineRule="auto"/>
            </w:pPr>
            <w:r>
              <w:rPr>
                <w:sz w:val="18"/>
              </w:rPr>
              <w:t>Dirty artefact or failed rollback/restore: reject candidate; build via CI and rehearse again.</w:t>
            </w:r>
          </w:p>
        </w:tc>
        <w:tc>
          <w:tcPr>
            <w:tcW w:type="dxa" w:w="1152"/>
            <w:shd w:fill="FFFFFF"/>
            <w:tcMar>
              <w:top w:w="85" w:type="dxa"/>
              <w:left w:w="85" w:type="dxa"/>
              <w:bottom w:w="85" w:type="dxa"/>
              <w:right w:w="85" w:type="dxa"/>
            </w:tcMar>
          </w:tcPr>
          <w:p>
            <w:pPr>
              <w:spacing w:after="60" w:line="245" w:lineRule="auto"/>
            </w:pPr>
            <w:r>
              <w:rPr>
                <w:sz w:val="18"/>
              </w:rPr>
              <w:t>George</w:t>
            </w:r>
          </w:p>
        </w:tc>
      </w:tr>
      <w:tr>
        <w:trPr>
          <w:cantSplit/>
        </w:trPr>
        <w:tc>
          <w:tcPr>
            <w:tcW w:type="dxa" w:w="2736"/>
            <w:shd w:fill="EFF5F4"/>
            <w:tcMar>
              <w:top w:w="85" w:type="dxa"/>
              <w:left w:w="85" w:type="dxa"/>
              <w:bottom w:w="85" w:type="dxa"/>
              <w:right w:w="85" w:type="dxa"/>
            </w:tcMar>
          </w:tcPr>
          <w:p>
            <w:pPr>
              <w:spacing w:after="60" w:line="245" w:lineRule="auto"/>
            </w:pPr>
            <w:r>
              <w:rPr>
                <w:sz w:val="18"/>
              </w:rPr>
              <w:t>No pilot evidence • M × H</w:t>
            </w:r>
          </w:p>
        </w:tc>
        <w:tc>
          <w:tcPr>
            <w:tcW w:type="dxa" w:w="5904"/>
            <w:shd w:fill="EFF5F4"/>
            <w:tcMar>
              <w:top w:w="85" w:type="dxa"/>
              <w:left w:w="85" w:type="dxa"/>
              <w:bottom w:w="85" w:type="dxa"/>
              <w:right w:w="85" w:type="dxa"/>
            </w:tcMar>
          </w:tcPr>
          <w:p>
            <w:pPr>
              <w:spacing w:after="60" w:line="245" w:lineRule="auto"/>
            </w:pPr>
            <w:r>
              <w:rPr>
                <w:sz w:val="18"/>
              </w:rPr>
              <w:t>Three testers not available by 30 Sep: recruit by 24 Sep; do not substitute founder demos for external usability evidence.</w:t>
            </w:r>
          </w:p>
        </w:tc>
        <w:tc>
          <w:tcPr>
            <w:tcW w:type="dxa" w:w="1152"/>
            <w:shd w:fill="EFF5F4"/>
            <w:tcMar>
              <w:top w:w="85" w:type="dxa"/>
              <w:left w:w="85" w:type="dxa"/>
              <w:bottom w:w="85" w:type="dxa"/>
              <w:right w:w="85" w:type="dxa"/>
            </w:tcMar>
          </w:tcPr>
          <w:p>
            <w:pPr>
              <w:spacing w:after="60" w:line="245" w:lineRule="auto"/>
            </w:pPr>
            <w:r>
              <w:rPr>
                <w:sz w:val="18"/>
              </w:rPr>
              <w:t>André</w:t>
            </w:r>
          </w:p>
        </w:tc>
      </w:tr>
      <w:tr>
        <w:trPr>
          <w:cantSplit/>
        </w:trPr>
        <w:tc>
          <w:tcPr>
            <w:tcW w:type="dxa" w:w="2736"/>
            <w:shd w:fill="FFFFFF"/>
            <w:tcMar>
              <w:top w:w="85" w:type="dxa"/>
              <w:left w:w="85" w:type="dxa"/>
              <w:bottom w:w="85" w:type="dxa"/>
              <w:right w:w="85" w:type="dxa"/>
            </w:tcMar>
          </w:tcPr>
          <w:p>
            <w:pPr>
              <w:spacing w:after="60" w:line="245" w:lineRule="auto"/>
            </w:pPr>
            <w:r>
              <w:rPr>
                <w:sz w:val="18"/>
              </w:rPr>
              <w:t>Contribution/access uncertainty • M × H</w:t>
            </w:r>
          </w:p>
        </w:tc>
        <w:tc>
          <w:tcPr>
            <w:tcW w:type="dxa" w:w="5904"/>
            <w:shd w:fill="FFFFFF"/>
            <w:tcMar>
              <w:top w:w="85" w:type="dxa"/>
              <w:left w:w="85" w:type="dxa"/>
              <w:bottom w:w="85" w:type="dxa"/>
              <w:right w:w="85" w:type="dxa"/>
            </w:tcMar>
          </w:tcPr>
          <w:p>
            <w:pPr>
              <w:spacing w:after="60" w:line="245" w:lineRule="auto"/>
            </w:pPr>
            <w:r>
              <w:rPr>
                <w:sz w:val="18"/>
              </w:rPr>
              <w:t>Missing required rights or single-owner access prevents release/recovery: clarify contribution terms, runtime licence and shared operational access.</w:t>
            </w:r>
          </w:p>
        </w:tc>
        <w:tc>
          <w:tcPr>
            <w:tcW w:type="dxa" w:w="1152"/>
            <w:shd w:fill="FFFFFF"/>
            <w:tcMar>
              <w:top w:w="85" w:type="dxa"/>
              <w:left w:w="85" w:type="dxa"/>
              <w:bottom w:w="85" w:type="dxa"/>
              <w:right w:w="85" w:type="dxa"/>
            </w:tcMar>
          </w:tcPr>
          <w:p>
            <w:pPr>
              <w:spacing w:after="60" w:line="245" w:lineRule="auto"/>
            </w:pPr>
            <w:r>
              <w:rPr>
                <w:sz w:val="18"/>
              </w:rPr>
              <w:t>Joint</w:t>
            </w:r>
          </w:p>
        </w:tc>
      </w:tr>
    </w:tbl>
    <w:p/>
    <w:p>
      <w:pPr>
        <w:pStyle w:val="Heading2"/>
      </w:pPr>
      <w:r>
        <w:t>Critical path and checkpoint decisions</w:t>
      </w:r>
    </w:p>
    <w:p>
      <w:r>
        <w:t>Canonical handoff → reproducible shell → runtime contract → identity/isolation → governed NPR → persistent Work → real workflow → outcome/learning → lifecycle/security → UAT/recovery → release. Design of the next gate, Azure cleanup and tester recruitment run alongside this path. AWS support, extra providers and fundraising materials are not dependencies.</w:t>
      </w:r>
    </w:p>
    <w:p>
      <w:r>
        <w:t>18 September: if G04 fails, protect the single workflow and remove optional UI breadth. 24 September: choose the qualified real runtime or declare the beta date at risk. 25 September: freeze features. 01 October: any P0/P1 means NO-GO pending a verified fix; 02 October is the only planned defect buffer before Monday release.</w:t>
      </w:r>
    </w:p>
    <w:p>
      <w:pPr>
        <w:pStyle w:val="Heading2"/>
      </w:pPr>
      <w:r>
        <w:t>De-scope order and non-waivable floor</w:t>
      </w:r>
    </w:p>
    <w:p>
      <w:r>
        <w:t>Cut extra visual variants/animations → extra onboarding questions/context types → multiple projects/workflows → attachments/search/integrations → provider comparison depth after one real adapter is qualified. Never cut identity/isolation, confirmed-context controls, real execution, the outcome-learning loop, truthful data lifecycle, budget enforcement or clean release/recovery proof. If the floor cannot pass by 05 October, deliver a clearly labelled internal demonstration and a revised beta date; do not call it V0.1 closed-beta ready.</w:t>
      </w:r>
    </w:p>
    <w:p>
      <w:r>
        <w:br w:type="page"/>
      </w:r>
    </w:p>
    <w:p>
      <w:pPr>
        <w:pStyle w:val="Subtitle"/>
      </w:pPr>
      <w:r>
        <w:t>21 • FINAL RELEASE RECORD</w:t>
      </w:r>
    </w:p>
    <w:p>
      <w:pPr>
        <w:pStyle w:val="Heading1"/>
      </w:pPr>
      <w:r>
        <w:t>V0.1 closed-beta readiness checklist</w:t>
      </w:r>
    </w:p>
    <w:p>
      <w:r>
        <w:t>Complete on 05 October against the exact release candidate. Every line needs PASS plus an evidence link in the repository release record. Any failure in the non-waivable floor blocks invitations. This checklist is deliberately uncompleted until verified.</w:t>
      </w:r>
    </w:p>
    <w:tbl>
      <w:tblPr>
        <w:tblW w:type="auto" w:w="0"/>
        <w:tblLayout w:type="fixed"/>
        <w:tblLook w:firstColumn="1" w:firstRow="1" w:lastColumn="0" w:lastRow="0" w:noHBand="0" w:noVBand="1" w:val="04A0"/>
      </w:tblPr>
      <w:tblGrid>
        <w:gridCol w:w="2376"/>
        <w:gridCol w:w="6264"/>
        <w:gridCol w:w="1152"/>
      </w:tblGrid>
      <w:tr>
        <w:trPr>
          <w:cantSplit/>
          <w:tblHeader/>
        </w:trPr>
        <w:tc>
          <w:tcPr>
            <w:tcW w:type="dxa" w:w="3278"/>
            <w:shd w:fill="163C43"/>
            <w:tcMar>
              <w:top w:w="85" w:type="dxa"/>
              <w:left w:w="85" w:type="dxa"/>
              <w:bottom w:w="85" w:type="dxa"/>
              <w:right w:w="85" w:type="dxa"/>
            </w:tcMar>
          </w:tcPr>
          <w:p>
            <w:pPr>
              <w:spacing w:after="60" w:line="245" w:lineRule="auto"/>
            </w:pPr>
            <w:r>
              <w:rPr>
                <w:b/>
                <w:color w:val="FFFFFF"/>
                <w:sz w:val="18"/>
              </w:rPr>
              <w:t>Check</w:t>
            </w:r>
          </w:p>
        </w:tc>
        <w:tc>
          <w:tcPr>
            <w:tcW w:type="dxa" w:w="3278"/>
            <w:shd w:fill="163C43"/>
            <w:tcMar>
              <w:top w:w="85" w:type="dxa"/>
              <w:left w:w="85" w:type="dxa"/>
              <w:bottom w:w="85" w:type="dxa"/>
              <w:right w:w="85" w:type="dxa"/>
            </w:tcMar>
          </w:tcPr>
          <w:p>
            <w:pPr>
              <w:spacing w:after="60" w:line="245" w:lineRule="auto"/>
            </w:pPr>
            <w:r>
              <w:rPr>
                <w:b/>
                <w:color w:val="FFFFFF"/>
                <w:sz w:val="18"/>
              </w:rPr>
              <w:t>Required evidence</w:t>
            </w:r>
          </w:p>
        </w:tc>
        <w:tc>
          <w:tcPr>
            <w:tcW w:type="dxa" w:w="3278"/>
            <w:shd w:fill="163C43"/>
            <w:tcMar>
              <w:top w:w="85" w:type="dxa"/>
              <w:left w:w="85" w:type="dxa"/>
              <w:bottom w:w="85" w:type="dxa"/>
              <w:right w:w="85" w:type="dxa"/>
            </w:tcMar>
          </w:tcPr>
          <w:p>
            <w:pPr>
              <w:spacing w:after="60" w:line="245" w:lineRule="auto"/>
            </w:pPr>
            <w:r>
              <w:rPr>
                <w:b/>
                <w:color w:val="FFFFFF"/>
                <w:sz w:val="18"/>
              </w:rPr>
              <w:t>Approval</w:t>
            </w:r>
          </w:p>
        </w:tc>
      </w:tr>
      <w:tr>
        <w:trPr>
          <w:cantSplit/>
        </w:trPr>
        <w:tc>
          <w:tcPr>
            <w:tcW w:type="dxa" w:w="2376"/>
            <w:shd w:fill="EFF5F4"/>
            <w:tcMar>
              <w:top w:w="85" w:type="dxa"/>
              <w:left w:w="85" w:type="dxa"/>
              <w:bottom w:w="85" w:type="dxa"/>
              <w:right w:w="85" w:type="dxa"/>
            </w:tcMar>
          </w:tcPr>
          <w:p>
            <w:pPr>
              <w:spacing w:after="60" w:line="245" w:lineRule="auto"/>
            </w:pPr>
            <w:r>
              <w:rPr>
                <w:sz w:val="18"/>
              </w:rPr>
              <w:t>☐ Scope and source freeze</w:t>
            </w:r>
          </w:p>
        </w:tc>
        <w:tc>
          <w:tcPr>
            <w:tcW w:type="dxa" w:w="6264"/>
            <w:shd w:fill="EFF5F4"/>
            <w:tcMar>
              <w:top w:w="85" w:type="dxa"/>
              <w:left w:w="85" w:type="dxa"/>
              <w:bottom w:w="85" w:type="dxa"/>
              <w:right w:w="85" w:type="dxa"/>
            </w:tcMar>
          </w:tcPr>
          <w:p>
            <w:pPr>
              <w:spacing w:after="60" w:line="245" w:lineRule="auto"/>
            </w:pPr>
            <w:r>
              <w:rPr>
                <w:sz w:val="18"/>
              </w:rPr>
              <w:t>Accepted increment contracts; CANON refs; closed scope changes; exact Figma nodes and known issues.</w:t>
            </w:r>
          </w:p>
        </w:tc>
        <w:tc>
          <w:tcPr>
            <w:tcW w:type="dxa" w:w="1152"/>
            <w:shd w:fill="EFF5F4"/>
            <w:tcMar>
              <w:top w:w="85" w:type="dxa"/>
              <w:left w:w="85" w:type="dxa"/>
              <w:bottom w:w="85" w:type="dxa"/>
              <w:right w:w="85" w:type="dxa"/>
            </w:tcMar>
          </w:tcPr>
          <w:p>
            <w:pPr>
              <w:spacing w:after="60" w:line="245" w:lineRule="auto"/>
            </w:pPr>
            <w:r>
              <w:rPr>
                <w:sz w:val="18"/>
              </w:rPr>
              <w:t>André</w:t>
            </w:r>
          </w:p>
        </w:tc>
      </w:tr>
      <w:tr>
        <w:trPr>
          <w:cantSplit/>
        </w:trPr>
        <w:tc>
          <w:tcPr>
            <w:tcW w:type="dxa" w:w="2376"/>
            <w:shd w:fill="FFFFFF"/>
            <w:tcMar>
              <w:top w:w="85" w:type="dxa"/>
              <w:left w:w="85" w:type="dxa"/>
              <w:bottom w:w="85" w:type="dxa"/>
              <w:right w:w="85" w:type="dxa"/>
            </w:tcMar>
          </w:tcPr>
          <w:p>
            <w:pPr>
              <w:spacing w:after="60" w:line="245" w:lineRule="auto"/>
            </w:pPr>
            <w:r>
              <w:rPr>
                <w:sz w:val="18"/>
              </w:rPr>
              <w:t>☐ Reproducible application</w:t>
            </w:r>
          </w:p>
        </w:tc>
        <w:tc>
          <w:tcPr>
            <w:tcW w:type="dxa" w:w="6264"/>
            <w:shd w:fill="FFFFFF"/>
            <w:tcMar>
              <w:top w:w="85" w:type="dxa"/>
              <w:left w:w="85" w:type="dxa"/>
              <w:bottom w:w="85" w:type="dxa"/>
              <w:right w:w="85" w:type="dxa"/>
            </w:tcMar>
          </w:tcPr>
          <w:p>
            <w:pPr>
              <w:spacing w:after="60" w:line="245" w:lineRule="auto"/>
            </w:pPr>
            <w:r>
              <w:rPr>
                <w:sz w:val="18"/>
              </w:rPr>
              <w:t>Clean commit, CI URL, artefact ID, version tag and independent local setup evidence.</w:t>
            </w:r>
          </w:p>
        </w:tc>
        <w:tc>
          <w:tcPr>
            <w:tcW w:type="dxa" w:w="1152"/>
            <w:shd w:fill="FFFFFF"/>
            <w:tcMar>
              <w:top w:w="85" w:type="dxa"/>
              <w:left w:w="85" w:type="dxa"/>
              <w:bottom w:w="85" w:type="dxa"/>
              <w:right w:w="85" w:type="dxa"/>
            </w:tcMar>
          </w:tcPr>
          <w:p>
            <w:pPr>
              <w:spacing w:after="60" w:line="245" w:lineRule="auto"/>
            </w:pPr>
            <w:r>
              <w:rPr>
                <w:sz w:val="18"/>
              </w:rPr>
              <w:t>George</w:t>
            </w:r>
          </w:p>
        </w:tc>
      </w:tr>
      <w:tr>
        <w:trPr>
          <w:cantSplit/>
        </w:trPr>
        <w:tc>
          <w:tcPr>
            <w:tcW w:type="dxa" w:w="2376"/>
            <w:shd w:fill="EFF5F4"/>
            <w:tcMar>
              <w:top w:w="85" w:type="dxa"/>
              <w:left w:w="85" w:type="dxa"/>
              <w:bottom w:w="85" w:type="dxa"/>
              <w:right w:w="85" w:type="dxa"/>
            </w:tcMar>
          </w:tcPr>
          <w:p>
            <w:pPr>
              <w:spacing w:after="60" w:line="245" w:lineRule="auto"/>
            </w:pPr>
            <w:r>
              <w:rPr>
                <w:sz w:val="18"/>
              </w:rPr>
              <w:t>☐ One complete product loop</w:t>
            </w:r>
          </w:p>
        </w:tc>
        <w:tc>
          <w:tcPr>
            <w:tcW w:type="dxa" w:w="6264"/>
            <w:shd w:fill="EFF5F4"/>
            <w:tcMar>
              <w:top w:w="85" w:type="dxa"/>
              <w:left w:w="85" w:type="dxa"/>
              <w:bottom w:w="85" w:type="dxa"/>
              <w:right w:w="85" w:type="dxa"/>
            </w:tcMar>
          </w:tcPr>
          <w:p>
            <w:pPr>
              <w:spacing w:after="60" w:line="245" w:lineRule="auto"/>
            </w:pPr>
            <w:r>
              <w:rPr>
                <w:sz w:val="18"/>
              </w:rPr>
              <w:t>Invited sign-in → discovery/skip → contextual support → persisted action → outcome → approved learning → later use.</w:t>
            </w:r>
          </w:p>
        </w:tc>
        <w:tc>
          <w:tcPr>
            <w:tcW w:type="dxa" w:w="1152"/>
            <w:shd w:fill="EFF5F4"/>
            <w:tcMar>
              <w:top w:w="85" w:type="dxa"/>
              <w:left w:w="85" w:type="dxa"/>
              <w:bottom w:w="85" w:type="dxa"/>
              <w:right w:w="85" w:type="dxa"/>
            </w:tcMar>
          </w:tcPr>
          <w:p>
            <w:pPr>
              <w:spacing w:after="60" w:line="245" w:lineRule="auto"/>
            </w:pPr>
            <w:r>
              <w:rPr>
                <w:sz w:val="18"/>
              </w:rPr>
              <w:t>Joint</w:t>
            </w:r>
          </w:p>
        </w:tc>
      </w:tr>
      <w:tr>
        <w:trPr>
          <w:cantSplit/>
        </w:trPr>
        <w:tc>
          <w:tcPr>
            <w:tcW w:type="dxa" w:w="2376"/>
            <w:shd w:fill="FFFFFF"/>
            <w:tcMar>
              <w:top w:w="85" w:type="dxa"/>
              <w:left w:w="85" w:type="dxa"/>
              <w:bottom w:w="85" w:type="dxa"/>
              <w:right w:w="85" w:type="dxa"/>
            </w:tcMar>
          </w:tcPr>
          <w:p>
            <w:pPr>
              <w:spacing w:after="60" w:line="245" w:lineRule="auto"/>
            </w:pPr>
            <w:r>
              <w:rPr>
                <w:sz w:val="18"/>
              </w:rPr>
              <w:t>☐ Real runtime proof</w:t>
            </w:r>
          </w:p>
        </w:tc>
        <w:tc>
          <w:tcPr>
            <w:tcW w:type="dxa" w:w="6264"/>
            <w:shd w:fill="FFFFFF"/>
            <w:tcMar>
              <w:top w:w="85" w:type="dxa"/>
              <w:left w:w="85" w:type="dxa"/>
              <w:bottom w:w="85" w:type="dxa"/>
              <w:right w:w="85" w:type="dxa"/>
            </w:tcMar>
          </w:tcPr>
          <w:p>
            <w:pPr>
              <w:spacing w:after="60" w:line="245" w:lineRule="auto"/>
            </w:pPr>
            <w:r>
              <w:rPr>
                <w:sz w:val="18"/>
              </w:rPr>
              <w:t>Pinned adapter/runtime/model versions; real workflow trace; no mocks in accepted path; substitution ADR if used.</w:t>
            </w:r>
          </w:p>
        </w:tc>
        <w:tc>
          <w:tcPr>
            <w:tcW w:type="dxa" w:w="1152"/>
            <w:shd w:fill="FFFFFF"/>
            <w:tcMar>
              <w:top w:w="85" w:type="dxa"/>
              <w:left w:w="85" w:type="dxa"/>
              <w:bottom w:w="85" w:type="dxa"/>
              <w:right w:w="85" w:type="dxa"/>
            </w:tcMar>
          </w:tcPr>
          <w:p>
            <w:pPr>
              <w:spacing w:after="60" w:line="245" w:lineRule="auto"/>
            </w:pPr>
            <w:r>
              <w:rPr>
                <w:sz w:val="18"/>
              </w:rPr>
              <w:t>George</w:t>
            </w:r>
          </w:p>
        </w:tc>
      </w:tr>
      <w:tr>
        <w:trPr>
          <w:cantSplit/>
        </w:trPr>
        <w:tc>
          <w:tcPr>
            <w:tcW w:type="dxa" w:w="2376"/>
            <w:shd w:fill="EFF5F4"/>
            <w:tcMar>
              <w:top w:w="85" w:type="dxa"/>
              <w:left w:w="85" w:type="dxa"/>
              <w:bottom w:w="85" w:type="dxa"/>
              <w:right w:w="85" w:type="dxa"/>
            </w:tcMar>
          </w:tcPr>
          <w:p>
            <w:pPr>
              <w:spacing w:after="60" w:line="245" w:lineRule="auto"/>
            </w:pPr>
            <w:r>
              <w:rPr>
                <w:sz w:val="18"/>
              </w:rPr>
              <w:t>☐ NPR agency</w:t>
            </w:r>
          </w:p>
        </w:tc>
        <w:tc>
          <w:tcPr>
            <w:tcW w:type="dxa" w:w="6264"/>
            <w:shd w:fill="EFF5F4"/>
            <w:tcMar>
              <w:top w:w="85" w:type="dxa"/>
              <w:left w:w="85" w:type="dxa"/>
              <w:bottom w:w="85" w:type="dxa"/>
              <w:right w:w="85" w:type="dxa"/>
            </w:tcMar>
          </w:tcPr>
          <w:p>
            <w:pPr>
              <w:spacing w:after="60" w:line="245" w:lineRule="auto"/>
            </w:pPr>
            <w:r>
              <w:rPr>
                <w:sz w:val="18"/>
              </w:rPr>
              <w:t>Inspect/edit/restrict/delete, confirmation/rejection, provenance and next-projection tests.</w:t>
            </w:r>
          </w:p>
        </w:tc>
        <w:tc>
          <w:tcPr>
            <w:tcW w:type="dxa" w:w="1152"/>
            <w:shd w:fill="EFF5F4"/>
            <w:tcMar>
              <w:top w:w="85" w:type="dxa"/>
              <w:left w:w="85" w:type="dxa"/>
              <w:bottom w:w="85" w:type="dxa"/>
              <w:right w:w="85" w:type="dxa"/>
            </w:tcMar>
          </w:tcPr>
          <w:p>
            <w:pPr>
              <w:spacing w:after="60" w:line="245" w:lineRule="auto"/>
            </w:pPr>
            <w:r>
              <w:rPr>
                <w:sz w:val="18"/>
              </w:rPr>
              <w:t>Joint</w:t>
            </w:r>
          </w:p>
        </w:tc>
      </w:tr>
      <w:tr>
        <w:trPr>
          <w:cantSplit/>
        </w:trPr>
        <w:tc>
          <w:tcPr>
            <w:tcW w:type="dxa" w:w="2376"/>
            <w:shd w:fill="FFFFFF"/>
            <w:tcMar>
              <w:top w:w="85" w:type="dxa"/>
              <w:left w:w="85" w:type="dxa"/>
              <w:bottom w:w="85" w:type="dxa"/>
              <w:right w:w="85" w:type="dxa"/>
            </w:tcMar>
          </w:tcPr>
          <w:p>
            <w:pPr>
              <w:spacing w:after="60" w:line="245" w:lineRule="auto"/>
            </w:pPr>
            <w:r>
              <w:rPr>
                <w:sz w:val="18"/>
              </w:rPr>
              <w:t>☐ Isolation and secrets</w:t>
            </w:r>
          </w:p>
        </w:tc>
        <w:tc>
          <w:tcPr>
            <w:tcW w:type="dxa" w:w="6264"/>
            <w:shd w:fill="FFFFFF"/>
            <w:tcMar>
              <w:top w:w="85" w:type="dxa"/>
              <w:left w:w="85" w:type="dxa"/>
              <w:bottom w:w="85" w:type="dxa"/>
              <w:right w:w="85" w:type="dxa"/>
            </w:tcMar>
          </w:tcPr>
          <w:p>
            <w:pPr>
              <w:spacing w:after="60" w:line="245" w:lineRule="auto"/>
            </w:pPr>
            <w:r>
              <w:rPr>
                <w:sz w:val="18"/>
              </w:rPr>
              <w:t>Adversarial two-user tests across rows, objects, runs and exports; secrets/dependency review.</w:t>
            </w:r>
          </w:p>
        </w:tc>
        <w:tc>
          <w:tcPr>
            <w:tcW w:type="dxa" w:w="1152"/>
            <w:shd w:fill="FFFFFF"/>
            <w:tcMar>
              <w:top w:w="85" w:type="dxa"/>
              <w:left w:w="85" w:type="dxa"/>
              <w:bottom w:w="85" w:type="dxa"/>
              <w:right w:w="85" w:type="dxa"/>
            </w:tcMar>
          </w:tcPr>
          <w:p>
            <w:pPr>
              <w:spacing w:after="60" w:line="245" w:lineRule="auto"/>
            </w:pPr>
            <w:r>
              <w:rPr>
                <w:sz w:val="18"/>
              </w:rPr>
              <w:t>George</w:t>
            </w:r>
          </w:p>
        </w:tc>
      </w:tr>
      <w:tr>
        <w:trPr>
          <w:cantSplit/>
        </w:trPr>
        <w:tc>
          <w:tcPr>
            <w:tcW w:type="dxa" w:w="2376"/>
            <w:shd w:fill="EFF5F4"/>
            <w:tcMar>
              <w:top w:w="85" w:type="dxa"/>
              <w:left w:w="85" w:type="dxa"/>
              <w:bottom w:w="85" w:type="dxa"/>
              <w:right w:w="85" w:type="dxa"/>
            </w:tcMar>
          </w:tcPr>
          <w:p>
            <w:pPr>
              <w:spacing w:after="60" w:line="245" w:lineRule="auto"/>
            </w:pPr>
            <w:r>
              <w:rPr>
                <w:sz w:val="18"/>
              </w:rPr>
              <w:t>☐ Safety and privacy</w:t>
            </w:r>
          </w:p>
        </w:tc>
        <w:tc>
          <w:tcPr>
            <w:tcW w:type="dxa" w:w="6264"/>
            <w:shd w:fill="EFF5F4"/>
            <w:tcMar>
              <w:top w:w="85" w:type="dxa"/>
              <w:left w:w="85" w:type="dxa"/>
              <w:bottom w:w="85" w:type="dxa"/>
              <w:right w:w="85" w:type="dxa"/>
            </w:tcMar>
          </w:tcPr>
          <w:p>
            <w:pPr>
              <w:spacing w:after="60" w:line="245" w:lineRule="auto"/>
            </w:pPr>
            <w:r>
              <w:rPr>
                <w:sz w:val="18"/>
              </w:rPr>
              <w:t>Enforced action policy, approved notices/audience, provider routing/retention and deletion/export evidence.</w:t>
            </w:r>
          </w:p>
        </w:tc>
        <w:tc>
          <w:tcPr>
            <w:tcW w:type="dxa" w:w="1152"/>
            <w:shd w:fill="EFF5F4"/>
            <w:tcMar>
              <w:top w:w="85" w:type="dxa"/>
              <w:left w:w="85" w:type="dxa"/>
              <w:bottom w:w="85" w:type="dxa"/>
              <w:right w:w="85" w:type="dxa"/>
            </w:tcMar>
          </w:tcPr>
          <w:p>
            <w:pPr>
              <w:spacing w:after="60" w:line="245" w:lineRule="auto"/>
            </w:pPr>
            <w:r>
              <w:rPr>
                <w:sz w:val="18"/>
              </w:rPr>
              <w:t>Joint</w:t>
            </w:r>
          </w:p>
        </w:tc>
      </w:tr>
      <w:tr>
        <w:trPr>
          <w:cantSplit/>
        </w:trPr>
        <w:tc>
          <w:tcPr>
            <w:tcW w:type="dxa" w:w="2376"/>
            <w:shd w:fill="FFFFFF"/>
            <w:tcMar>
              <w:top w:w="85" w:type="dxa"/>
              <w:left w:w="85" w:type="dxa"/>
              <w:bottom w:w="85" w:type="dxa"/>
              <w:right w:w="85" w:type="dxa"/>
            </w:tcMar>
          </w:tcPr>
          <w:p>
            <w:pPr>
              <w:spacing w:after="60" w:line="245" w:lineRule="auto"/>
            </w:pPr>
            <w:r>
              <w:rPr>
                <w:sz w:val="18"/>
              </w:rPr>
              <w:t>☐ Accessible and useful</w:t>
            </w:r>
          </w:p>
        </w:tc>
        <w:tc>
          <w:tcPr>
            <w:tcW w:type="dxa" w:w="6264"/>
            <w:shd w:fill="FFFFFF"/>
            <w:tcMar>
              <w:top w:w="85" w:type="dxa"/>
              <w:left w:w="85" w:type="dxa"/>
              <w:bottom w:w="85" w:type="dxa"/>
              <w:right w:w="85" w:type="dxa"/>
            </w:tcMar>
          </w:tcPr>
          <w:p>
            <w:pPr>
              <w:spacing w:after="60" w:line="245" w:lineRule="auto"/>
            </w:pPr>
            <w:r>
              <w:rPr>
                <w:sz w:val="18"/>
              </w:rPr>
              <w:t>Manual/automated accessibility, three-user UAT, paired utility rubric and responsive acceptance results.</w:t>
            </w:r>
          </w:p>
        </w:tc>
        <w:tc>
          <w:tcPr>
            <w:tcW w:type="dxa" w:w="1152"/>
            <w:shd w:fill="FFFFFF"/>
            <w:tcMar>
              <w:top w:w="85" w:type="dxa"/>
              <w:left w:w="85" w:type="dxa"/>
              <w:bottom w:w="85" w:type="dxa"/>
              <w:right w:w="85" w:type="dxa"/>
            </w:tcMar>
          </w:tcPr>
          <w:p>
            <w:pPr>
              <w:spacing w:after="60" w:line="245" w:lineRule="auto"/>
            </w:pPr>
            <w:r>
              <w:rPr>
                <w:sz w:val="18"/>
              </w:rPr>
              <w:t>André</w:t>
            </w:r>
          </w:p>
        </w:tc>
      </w:tr>
      <w:tr>
        <w:trPr>
          <w:cantSplit/>
        </w:trPr>
        <w:tc>
          <w:tcPr>
            <w:tcW w:type="dxa" w:w="2376"/>
            <w:shd w:fill="EFF5F4"/>
            <w:tcMar>
              <w:top w:w="85" w:type="dxa"/>
              <w:left w:w="85" w:type="dxa"/>
              <w:bottom w:w="85" w:type="dxa"/>
              <w:right w:w="85" w:type="dxa"/>
            </w:tcMar>
          </w:tcPr>
          <w:p>
            <w:pPr>
              <w:spacing w:after="60" w:line="245" w:lineRule="auto"/>
            </w:pPr>
            <w:r>
              <w:rPr>
                <w:sz w:val="18"/>
              </w:rPr>
              <w:t>☐ Reliability and cost</w:t>
            </w:r>
          </w:p>
        </w:tc>
        <w:tc>
          <w:tcPr>
            <w:tcW w:type="dxa" w:w="6264"/>
            <w:shd w:fill="EFF5F4"/>
            <w:tcMar>
              <w:top w:w="85" w:type="dxa"/>
              <w:left w:w="85" w:type="dxa"/>
              <w:bottom w:w="85" w:type="dxa"/>
              <w:right w:w="85" w:type="dxa"/>
            </w:tcMar>
          </w:tcPr>
          <w:p>
            <w:pPr>
              <w:spacing w:after="60" w:line="245" w:lineRule="auto"/>
            </w:pPr>
            <w:r>
              <w:rPr>
                <w:sz w:val="18"/>
              </w:rPr>
              <w:t>Load/fault results, concurrency/token/spend caps, alert test and Azure cleanup status.</w:t>
            </w:r>
          </w:p>
        </w:tc>
        <w:tc>
          <w:tcPr>
            <w:tcW w:type="dxa" w:w="1152"/>
            <w:shd w:fill="EFF5F4"/>
            <w:tcMar>
              <w:top w:w="85" w:type="dxa"/>
              <w:left w:w="85" w:type="dxa"/>
              <w:bottom w:w="85" w:type="dxa"/>
              <w:right w:w="85" w:type="dxa"/>
            </w:tcMar>
          </w:tcPr>
          <w:p>
            <w:pPr>
              <w:spacing w:after="60" w:line="245" w:lineRule="auto"/>
            </w:pPr>
            <w:r>
              <w:rPr>
                <w:sz w:val="18"/>
              </w:rPr>
              <w:t>George</w:t>
            </w:r>
          </w:p>
        </w:tc>
      </w:tr>
      <w:tr>
        <w:trPr>
          <w:cantSplit/>
        </w:trPr>
        <w:tc>
          <w:tcPr>
            <w:tcW w:type="dxa" w:w="2376"/>
            <w:shd w:fill="FFFFFF"/>
            <w:tcMar>
              <w:top w:w="85" w:type="dxa"/>
              <w:left w:w="85" w:type="dxa"/>
              <w:bottom w:w="85" w:type="dxa"/>
              <w:right w:w="85" w:type="dxa"/>
            </w:tcMar>
          </w:tcPr>
          <w:p>
            <w:pPr>
              <w:spacing w:after="60" w:line="245" w:lineRule="auto"/>
            </w:pPr>
            <w:r>
              <w:rPr>
                <w:sz w:val="18"/>
              </w:rPr>
              <w:t>☐ Recovery and support</w:t>
            </w:r>
          </w:p>
        </w:tc>
        <w:tc>
          <w:tcPr>
            <w:tcW w:type="dxa" w:w="6264"/>
            <w:shd w:fill="FFFFFF"/>
            <w:tcMar>
              <w:top w:w="85" w:type="dxa"/>
              <w:left w:w="85" w:type="dxa"/>
              <w:bottom w:w="85" w:type="dxa"/>
              <w:right w:w="85" w:type="dxa"/>
            </w:tcMar>
          </w:tcPr>
          <w:p>
            <w:pPr>
              <w:spacing w:after="60" w:line="245" w:lineRule="auto"/>
            </w:pPr>
            <w:r>
              <w:rPr>
                <w:sz w:val="18"/>
              </w:rPr>
              <w:t>Rollback/restore drill, backups and deletion replay, support contact and actual cover hours.</w:t>
            </w:r>
          </w:p>
        </w:tc>
        <w:tc>
          <w:tcPr>
            <w:tcW w:type="dxa" w:w="1152"/>
            <w:shd w:fill="FFFFFF"/>
            <w:tcMar>
              <w:top w:w="85" w:type="dxa"/>
              <w:left w:w="85" w:type="dxa"/>
              <w:bottom w:w="85" w:type="dxa"/>
              <w:right w:w="85" w:type="dxa"/>
            </w:tcMar>
          </w:tcPr>
          <w:p>
            <w:pPr>
              <w:spacing w:after="60" w:line="245" w:lineRule="auto"/>
            </w:pPr>
            <w:r>
              <w:rPr>
                <w:sz w:val="18"/>
              </w:rPr>
              <w:t>Joint</w:t>
            </w:r>
          </w:p>
        </w:tc>
      </w:tr>
      <w:tr>
        <w:trPr>
          <w:cantSplit/>
        </w:trPr>
        <w:tc>
          <w:tcPr>
            <w:tcW w:type="dxa" w:w="2376"/>
            <w:shd w:fill="EFF5F4"/>
            <w:tcMar>
              <w:top w:w="85" w:type="dxa"/>
              <w:left w:w="85" w:type="dxa"/>
              <w:bottom w:w="85" w:type="dxa"/>
              <w:right w:w="85" w:type="dxa"/>
            </w:tcMar>
          </w:tcPr>
          <w:p>
            <w:pPr>
              <w:spacing w:after="60" w:line="245" w:lineRule="auto"/>
            </w:pPr>
            <w:r>
              <w:rPr>
                <w:sz w:val="18"/>
              </w:rPr>
              <w:t>☐ Release blockers closed</w:t>
            </w:r>
          </w:p>
        </w:tc>
        <w:tc>
          <w:tcPr>
            <w:tcW w:type="dxa" w:w="6264"/>
            <w:shd w:fill="EFF5F4"/>
            <w:tcMar>
              <w:top w:w="85" w:type="dxa"/>
              <w:left w:w="85" w:type="dxa"/>
              <w:bottom w:w="85" w:type="dxa"/>
              <w:right w:w="85" w:type="dxa"/>
            </w:tcMar>
          </w:tcPr>
          <w:p>
            <w:pPr>
              <w:spacing w:after="60" w:line="245" w:lineRule="auto"/>
            </w:pPr>
            <w:r>
              <w:rPr>
                <w:sz w:val="18"/>
              </w:rPr>
              <w:t>No P0/P1; lower-priority issue has owner, workaround, target and explicit acceptance.</w:t>
            </w:r>
          </w:p>
        </w:tc>
        <w:tc>
          <w:tcPr>
            <w:tcW w:type="dxa" w:w="1152"/>
            <w:shd w:fill="EFF5F4"/>
            <w:tcMar>
              <w:top w:w="85" w:type="dxa"/>
              <w:left w:w="85" w:type="dxa"/>
              <w:bottom w:w="85" w:type="dxa"/>
              <w:right w:w="85" w:type="dxa"/>
            </w:tcMar>
          </w:tcPr>
          <w:p>
            <w:pPr>
              <w:spacing w:after="60" w:line="245" w:lineRule="auto"/>
            </w:pPr>
            <w:r>
              <w:rPr>
                <w:sz w:val="18"/>
              </w:rPr>
              <w:t>Joint</w:t>
            </w:r>
          </w:p>
        </w:tc>
      </w:tr>
      <w:tr>
        <w:trPr>
          <w:cantSplit/>
        </w:trPr>
        <w:tc>
          <w:tcPr>
            <w:tcW w:type="dxa" w:w="2376"/>
            <w:shd w:fill="FFFFFF"/>
            <w:tcMar>
              <w:top w:w="85" w:type="dxa"/>
              <w:left w:w="85" w:type="dxa"/>
              <w:bottom w:w="85" w:type="dxa"/>
              <w:right w:w="85" w:type="dxa"/>
            </w:tcMar>
          </w:tcPr>
          <w:p>
            <w:pPr>
              <w:spacing w:after="60" w:line="245" w:lineRule="auto"/>
            </w:pPr>
            <w:r>
              <w:rPr>
                <w:sz w:val="18"/>
              </w:rPr>
              <w:t>☐ Production smoke and cohort</w:t>
            </w:r>
          </w:p>
        </w:tc>
        <w:tc>
          <w:tcPr>
            <w:tcW w:type="dxa" w:w="6264"/>
            <w:shd w:fill="FFFFFF"/>
            <w:tcMar>
              <w:top w:w="85" w:type="dxa"/>
              <w:left w:w="85" w:type="dxa"/>
              <w:bottom w:w="85" w:type="dxa"/>
              <w:right w:w="85" w:type="dxa"/>
            </w:tcMar>
          </w:tcPr>
          <w:p>
            <w:pPr>
              <w:spacing w:after="60" w:line="245" w:lineRule="auto"/>
            </w:pPr>
            <w:r>
              <w:rPr>
                <w:sz w:val="18"/>
              </w:rPr>
              <w:t>Live test-account loop passes; controlled invitation list; health review before any cohort expansion.</w:t>
            </w:r>
          </w:p>
        </w:tc>
        <w:tc>
          <w:tcPr>
            <w:tcW w:type="dxa" w:w="1152"/>
            <w:shd w:fill="FFFFFF"/>
            <w:tcMar>
              <w:top w:w="85" w:type="dxa"/>
              <w:left w:w="85" w:type="dxa"/>
              <w:bottom w:w="85" w:type="dxa"/>
              <w:right w:w="85" w:type="dxa"/>
            </w:tcMar>
          </w:tcPr>
          <w:p>
            <w:pPr>
              <w:spacing w:after="60" w:line="245" w:lineRule="auto"/>
            </w:pPr>
            <w:r>
              <w:rPr>
                <w:sz w:val="18"/>
              </w:rPr>
              <w:t>Joint</w:t>
            </w:r>
          </w:p>
        </w:tc>
      </w:tr>
    </w:tbl>
    <w:p/>
    <w:p>
      <w:pPr>
        <w:pStyle w:val="Heading2"/>
      </w:pPr>
      <w:r>
        <w:t>Release decision</w:t>
      </w:r>
    </w:p>
    <w:p>
      <w:r>
        <w:t>Decision:  ☐ GO   ☐ NO-GO     Date/time: ____________________</w:t>
        <w:br/>
        <w:t>André Skepple, product approval: ____________________</w:t>
        <w:br/>
        <w:t>George Nangle, engineering approval: ____________________</w:t>
        <w:br/>
        <w:t>Commit / artefact / runtime / schema: ____________________</w:t>
        <w:br/>
        <w:t>Evidence record / known issues: ____________________</w:t>
      </w:r>
    </w:p>
    <w:p>
      <w:r>
        <w:br w:type="page"/>
      </w:r>
    </w:p>
    <w:p>
      <w:pPr>
        <w:pStyle w:val="Subtitle"/>
      </w:pPr>
      <w:r>
        <w:t>22 • SOURCE REGISTER</w:t>
      </w:r>
    </w:p>
    <w:p>
      <w:pPr>
        <w:pStyle w:val="Heading1"/>
      </w:pPr>
      <w:r>
        <w:t>Source and decision traceability</w:t>
      </w:r>
    </w:p>
    <w:p>
      <w:r>
        <w:t>The transcript provides the working agreement and incremental delivery direction. The Phase 0 PRD and handover specifications provide the product loop, governed context, runtime and data contracts. This plan’s dates, numerical budgets, capacity envelope and acceptance thresholds are proposed decisions for joint adoption, not evidence of completed implementation.</w:t>
      </w:r>
    </w:p>
    <w:p>
      <w:pPr>
        <w:pStyle w:val="Heading2"/>
      </w:pPr>
      <w:r>
        <w:t>References</w:t>
      </w:r>
    </w:p>
    <w:p>
      <w:r>
        <w:t>[S1] “Meeting Transcription (4).txt”, 05 September 2026, 14:37, André Skepple and George Nangle. Build ladder/design: 01:03–07:29, 13:16–18:51; runtime: 19:22–21:46; documents: 22:28–23:36; Azure/AWS: 25:09–27:36; capacity: 30:18–31:28.</w:t>
        <w:br/>
        <w:t>[S2] akilii Definitive MVP — Lean Engineering PRD, 26 August 2026, revision 0.1, especially §§1, 3–6 and definition of done.</w:t>
        <w:br/>
        <w:t>[S3] NPR Phase 0 — Data and Lifecycle Specification, 26 August handover pack, 03_NPR_PHASE0_DATA_AND_LIFECYCLE.md.</w:t>
        <w:br/>
        <w:t>[S4] Support Runtime, API, and Event Contracts, same pack, 04_SUPPORT_RUNTIME_API_EVENT_CONTRACTS.md.</w:t>
        <w:br/>
        <w:t>[S5] “akilii Production Readiness”, 01 September 2026 conversation: prior assessment to reverify at G01; not a current deployment certification.</w:t>
      </w:r>
    </w:p>
    <w:p>
      <w:pPr>
        <w:pStyle w:val="Heading2"/>
      </w:pPr>
      <w:r>
        <w:t>Release severity definitions</w:t>
      </w:r>
    </w:p>
    <w:p>
      <w:r>
        <w:t>P0: data exposure/loss, exploitable critical security issue or unsafe unauthorised execution. P1: a required journey, user control, real runtime path or recovery gate fails with no acceptable workaround. Both block release. P2: limited defect with a safe workaround; needs joint acceptance, owner and fix date. P3: cosmetic or optional improvement; may enter the post-beta backlog.</w:t>
      </w:r>
    </w:p>
    <w:sectPr w:rsidR="00FC693F" w:rsidRPr="0006063C" w:rsidSect="00034616">
      <w:footerReference w:type="default" r:id="rId9"/>
      <w:pgSz w:w="11909" w:h="16834"/>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A7E"/>
        <w:sz w:val="16"/>
      </w:rPr>
      <w:t xml:space="preserve">akilii • V0.1 delivery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2438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163C43"/>
      <w:sz w:val="4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247D8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163C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163C43"/>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44757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akilii V0.1 Development Plan</dc:title>
  <dc:subject>05 September–05 October 2026 | André Skepple and George Nangle</dc:subject>
  <dc:creator>André Skepple and George Nangle</dc:creator>
  <cp:keywords/>
  <dc:description>generated by python-docx</dc:description>
  <cp:lastModifiedBy/>
  <cp:revision>1</cp:revision>
  <dcterms:created xsi:type="dcterms:W3CDTF">2013-12-23T23:15:00Z</dcterms:created>
  <dcterms:modified xsi:type="dcterms:W3CDTF">2013-12-23T23:15:00Z</dcterms:modified>
  <cp:category/>
</cp:coreProperties>
</file>