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卒業研究計画の関連研究調査と改訂提言</w:t>
      </w:r>
    </w:p>
    <w:tbl>
      <w:tblPr>
        <w:tblW w:type="auto" w:w="0"/>
        <w:jc w:val="center"/>
        <w:tblLayout w:type="autofit"/>
        <w:tblLook w:firstColumn="1" w:firstRow="1" w:lastColumn="0" w:lastRow="0" w:noHBand="0" w:noVBand="1" w:val="04A0"/>
      </w:tblPr>
      <w:tblGrid>
        <w:gridCol w:w="10282"/>
      </w:tblGrid>
      <w:tr>
        <w:trPr>
          <w:tblHeader w:val="true"/>
        </w:trPr>
        <w:tc>
          <w:tcPr>
            <w:tcW w:type="dxa" w:w="10282"/>
            <w:shd w:fill="E8F3F2"/>
            <w:tcMar>
              <w:top w:w="130" w:type="dxa"/>
              <w:start w:w="180" w:type="dxa"/>
              <w:bottom w:w="130" w:type="dxa"/>
              <w:end w:w="180" w:type="dxa"/>
            </w:tcMar>
          </w:tcPr>
          <w:p>
            <w:pPr>
              <w:spacing w:after="60"/>
            </w:pPr>
            <w:r>
              <w:rPr>
                <w:b/>
                <w:color w:val="0F6B6D"/>
                <w:sz w:val="21"/>
              </w:rPr>
              <w:t>結論：研究は継続可能。ただし、中心概念と実験単位の再設計が必要</w:t>
            </w:r>
          </w:p>
          <w:p>
            <w:pPr>
              <w:spacing w:after="0" w:line="288" w:lineRule="auto"/>
            </w:pPr>
            <w:r>
              <w:rPr>
                <w:sz w:val="18"/>
              </w:rPr>
              <w:t>現計画は、公開Weightモデル・単一ドメイン・段階的達成基準という点で卒業研究として堅実である。しかし、2026年の近接研究により「内部状態からIPI露出を検出する」「Role表現で攻撃成功を予測する」「時間的Takeover Pointを局在化する」「Attentionを介入する」という主張は単独では新規性になりにくい。研究の核を、目的内容・権限帰属・具体的なツール行動へのコミットメントがどこで分離／結合するか、へ移すことを推奨する。</w:t>
            </w:r>
          </w:p>
        </w:tc>
      </w:tr>
    </w:tbl>
    <w:p>
      <w:pPr>
        <w:spacing w:after="0"/>
      </w:pPr>
    </w:p>
    <w:p>
      <w:pPr>
        <w:pStyle w:val="Heading1"/>
      </w:pPr>
      <w:r>
        <w:t>1. エグゼクティブ・サマリー</w:t>
      </w:r>
    </w:p>
    <w:p>
      <w:pPr>
        <w:spacing w:after="90" w:line="293" w:lineRule="auto"/>
      </w:pPr>
      <w:r>
        <w:t>本調査は、提出された研究計画案と実験プロトコルを対象に、Indirect Prompt Injection（IPI）、エージェント内部状態、線形Probe、Role表現、時間的因果診断、Activation Patchingの一次資料を中心に比較した。AgentDojoは97のユーザータスクと629のセキュリティ事例を持つ有力な基盤であり、ユーザー効用と攻撃成功を状態ベースで分けて評価できる。</w:t>
      </w:r>
      <w:r>
        <w:footnoteReference w:id="1"/>
      </w:r>
    </w:p>
    <w:p>
      <w:pPr>
        <w:spacing w:after="90" w:line="293" w:lineRule="auto"/>
      </w:pPr>
      <w:r>
        <w:t>判断は「中止」ではなく「大幅な焦点修正」である。現計画の長所は、(i) 単一モデル・単一ドメインから始める、(ii) 攻撃成功をProbe教師にしない、(iii) Task/Attack単位で分割する、(iv) Attentionを説明そのものとみなさない、(v) Patchingを発展課題に留める、という慎重さにある。これらは維持すべきである。</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936"/>
            <w:shd w:fill="17324D"/>
            <w:vAlign w:val="center"/>
          </w:tcPr>
          <w:p>
            <w:pPr>
              <w:spacing w:after="0" w:line="269" w:lineRule="auto"/>
            </w:pPr>
            <w:r/>
            <w:r>
              <w:rPr>
                <w:rFonts w:ascii="Noto Sans JP Text" w:hAnsi="Noto Sans JP Text" w:eastAsia="Noto Sans JP Text"/>
                <w:b/>
                <w:color w:val="FFFFFF"/>
                <w:sz w:val="15"/>
              </w:rPr>
              <w:t>優先度</w:t>
            </w:r>
          </w:p>
        </w:tc>
        <w:tc>
          <w:tcPr>
            <w:tcW w:type="dxa" w:w="3096"/>
            <w:shd w:fill="17324D"/>
            <w:vAlign w:val="center"/>
          </w:tcPr>
          <w:p>
            <w:pPr>
              <w:spacing w:after="0" w:line="269" w:lineRule="auto"/>
            </w:pPr>
            <w:r/>
            <w:r>
              <w:rPr>
                <w:rFonts w:ascii="Noto Sans JP Text" w:hAnsi="Noto Sans JP Text" w:eastAsia="Noto Sans JP Text"/>
                <w:b/>
                <w:color w:val="FFFFFF"/>
                <w:sz w:val="15"/>
              </w:rPr>
              <w:t>変更</w:t>
            </w:r>
          </w:p>
        </w:tc>
        <w:tc>
          <w:tcPr>
            <w:tcW w:type="dxa" w:w="6048"/>
            <w:shd w:fill="17324D"/>
            <w:vAlign w:val="center"/>
          </w:tcPr>
          <w:p>
            <w:pPr>
              <w:spacing w:after="0" w:line="269" w:lineRule="auto"/>
            </w:pPr>
            <w:r/>
            <w:r>
              <w:rPr>
                <w:rFonts w:ascii="Noto Sans JP Text" w:hAnsi="Noto Sans JP Text" w:eastAsia="Noto Sans JP Text"/>
                <w:b/>
                <w:color w:val="FFFFFF"/>
                <w:sz w:val="15"/>
              </w:rPr>
              <w:t>理由</w:t>
            </w:r>
          </w:p>
        </w:tc>
      </w:tr>
      <w:tr>
        <w:tc>
          <w:tcPr>
            <w:tcW w:type="dxa" w:w="936"/>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必須</w:t>
            </w:r>
          </w:p>
        </w:tc>
        <w:tc>
          <w:tcPr>
            <w:tcW w:type="dxa" w:w="3096"/>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Takeover Pointを改称し、題目を変更</w:t>
            </w:r>
          </w:p>
        </w:tc>
        <w:tc>
          <w:tcPr>
            <w:tcW w:type="dxa" w:w="6048"/>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AgentSentryが同語・同じ時間的局在化を使用しており、正面衝突する。</w:t>
            </w:r>
          </w:p>
        </w:tc>
      </w:tr>
      <w:tr>
        <w:tc>
          <w:tcPr>
            <w:tcW w:type="dxa" w:w="936"/>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必須</w:t>
            </w:r>
          </w:p>
        </w:tc>
        <w:tc>
          <w:tcPr>
            <w:tcW w:type="dxa" w:w="3096"/>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目的を action / arguments / authority / status に分解</w:t>
            </w:r>
          </w:p>
        </w:tc>
        <w:tc>
          <w:tcPr>
            <w:tcW w:type="dxa" w:w="6048"/>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「内容が読める」と「採用した」を分離し、同じツールの引数乗っ取りを扱うため。</w:t>
            </w:r>
          </w:p>
        </w:tc>
      </w:tr>
      <w:tr>
        <w:tc>
          <w:tcPr>
            <w:tcW w:type="dxa" w:w="936"/>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必須</w:t>
            </w:r>
          </w:p>
        </w:tc>
        <w:tc>
          <w:tcPr>
            <w:tcW w:type="dxa" w:w="3096"/>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同一目的カテゴリを除外しない</w:t>
            </w:r>
          </w:p>
        </w:tc>
        <w:tc>
          <w:tcPr>
            <w:tcW w:type="dxa" w:w="6048"/>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送金先・宛先・金額だけが変わるIPIが実務上重要で、除外すると中心的攻撃を落とす。</w:t>
            </w:r>
          </w:p>
        </w:tc>
      </w:tr>
      <w:tr>
        <w:tc>
          <w:tcPr>
            <w:tcW w:type="dxa" w:w="936"/>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必須</w:t>
            </w:r>
          </w:p>
        </w:tc>
        <w:tc>
          <w:tcPr>
            <w:tcW w:type="dxa" w:w="3096"/>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観測時点を実際のserialized prefixで定義</w:t>
            </w:r>
          </w:p>
        </w:tc>
        <w:tc>
          <w:tcPr>
            <w:tcW w:type="dxa" w:w="6048"/>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現行の段階3・4・5は同一forward stateになり得る。</w:t>
            </w:r>
          </w:p>
        </w:tc>
      </w:tr>
      <w:tr>
        <w:tc>
          <w:tcPr>
            <w:tcW w:type="dxa" w:w="936"/>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必須</w:t>
            </w:r>
          </w:p>
        </w:tc>
        <w:tc>
          <w:tcPr>
            <w:tcW w:type="dxa" w:w="3096"/>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タスクのunderspecificationを実験要因に追加</w:t>
            </w:r>
          </w:p>
        </w:tc>
        <w:tc>
          <w:tcPr>
            <w:tcW w:type="dxa" w:w="6048"/>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外部データへ正当に依存するタスクと、権限混同を区別する必要がある。</w:t>
            </w:r>
          </w:p>
        </w:tc>
      </w:tr>
      <w:tr>
        <w:tc>
          <w:tcPr>
            <w:tcW w:type="dxa" w:w="936"/>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推奨</w:t>
            </w:r>
          </w:p>
        </w:tc>
        <w:tc>
          <w:tcPr>
            <w:tcW w:type="dxa" w:w="3096"/>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Probe妥当性対照と独立テストを強化</w:t>
            </w:r>
          </w:p>
        </w:tc>
        <w:tc>
          <w:tcPr>
            <w:tcW w:type="dxa" w:w="6048"/>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語彙・文体・テンプレートを読むだけのProbeを排除する。</w:t>
            </w:r>
          </w:p>
        </w:tc>
      </w:tr>
      <w:tr>
        <w:tc>
          <w:tcPr>
            <w:tcW w:type="dxa" w:w="936"/>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推奨</w:t>
            </w:r>
          </w:p>
        </w:tc>
        <w:tc>
          <w:tcPr>
            <w:tcW w:type="dxa" w:w="3096"/>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Patchingは双方向・正規化効果量・clean utilityを追加</w:t>
            </w:r>
          </w:p>
        </w:tc>
        <w:tc>
          <w:tcPr>
            <w:tcW w:type="dxa" w:w="6048"/>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介入の解釈を安定させ、単なる破壊を因果効果と誤認しない。</w:t>
            </w:r>
          </w:p>
        </w:tc>
      </w:tr>
    </w:tbl>
    <w:p>
      <w:pPr>
        <w:spacing w:after="0"/>
      </w:pPr>
    </w:p>
    <w:p>
      <w:pPr>
        <w:pStyle w:val="Heading1"/>
      </w:pPr>
      <w:r>
        <w:t>2. 関連研究の地図と新規性の境界</w:t>
      </w:r>
    </w:p>
    <w:p>
      <w:pPr>
        <w:pStyle w:val="Heading2"/>
      </w:pPr>
      <w:r>
        <w:t>2.1 内部状態による検知は、すでに強いベースラインである</w:t>
      </w:r>
    </w:p>
    <w:p>
      <w:pPr>
        <w:spacing w:after="90" w:line="293" w:lineRule="auto"/>
      </w:pPr>
      <w:r>
        <w:t>TaskTrackerは外部入力前後の最終token activation差からTask Driftを高いROC AUCで検出したが、その信号が意味的な逸脱か構文・構造的特徴かは未解決である。したがって、単に「攻撃文を読んだ後のActivationが変わる」ことを示すだけでは不足する。</w:t>
      </w:r>
      <w:r>
        <w:footnoteReference w:id="2"/>
      </w:r>
    </w:p>
    <w:p>
      <w:pPr>
        <w:spacing w:after="90" w:line="293" w:lineRule="auto"/>
      </w:pPr>
      <w:r>
        <w:t>InstructDetectorは中間層のhidden stateとgradientを用いてinstruction-containing inputを検出し、PIShieldもResidual Streamの線形分類でPrompt Injectionを検出する。これらは完全なagent trajectoryではないものの、「内部表現から攻撃／命令の存在を読む」こと自体の新規性を弱める。</w:t>
      </w:r>
      <w:r>
        <w:footnoteReference w:id="3"/>
      </w:r>
    </w:p>
    <w:p>
      <w:pPr>
        <w:spacing w:after="90" w:line="293" w:lineRule="auto"/>
      </w:pPr>
      <w:r>
        <w:t>さらに2026年8月の研究は、AgentDojoのmulti-turn trajectoryにおいて、8モデルでIPI露出を生成前hidden stateから高いAUROCで判別し、安全行動へ結び付かないknowledge–action gapを報告した。Qwen3-8Bを含む近い設定であるため、本研究は露出検知ではなく、露出した内容がどの権限として扱われ、どの行動引数へ結び付くかを問う必要がある。</w:t>
      </w:r>
      <w:r>
        <w:footnoteReference w:id="4"/>
      </w:r>
    </w:p>
    <w:p>
      <w:pPr>
        <w:pStyle w:val="Heading2"/>
      </w:pPr>
      <w:r>
        <w:t>2.2 Role・Attention・時間的局在化も既存の中心課題になった</w:t>
      </w:r>
    </w:p>
    <w:p>
      <w:pPr>
        <w:spacing w:after="90" w:line="293" w:lineRule="auto"/>
      </w:pPr>
      <w:r>
        <w:t>Prompt Injection as Role Confusionは、同一内容を異なるRoleに置いた対照からRole Probeを構成し、文章の「Userらしさ」が宣言Roleを超えて攻撃成功と関係することを示す。よってRole readoutは新規な主成果ではなく、既存説明を再現する比較基準または媒介要因として置くべきである。</w:t>
      </w:r>
      <w:r>
        <w:footnoteReference w:id="5"/>
      </w:r>
    </w:p>
    <w:p>
      <w:pPr>
        <w:spacing w:after="90" w:line="293" w:lineRule="auto"/>
      </w:pPr>
      <w:r>
        <w:t>IterInjectはQwen3.5-27Bの機構分析で中後層の攻撃文Attention増幅と介入を報告し、Attention knockoutの効果がActivation Patchingより大きいとする。これは現計画のRQ3・RQ4と直接重なる。ただし一モデルのpreprintであり、一般機構として確立したとは言えないため、再現対象としての価値は残る。</w:t>
      </w:r>
      <w:r>
        <w:footnoteReference w:id="6"/>
      </w:r>
    </w:p>
    <w:p>
      <w:pPr>
        <w:spacing w:after="90" w:line="293" w:lineRule="auto"/>
      </w:pPr>
      <w:r>
        <w:t>最も重要な衝突はAgentSentryである。同研究はmulti-turn IPIを temporal causal takeover と定式化し、tool-return boundaryのcounterfactual re-executionにより takeover points を局在化する。現題目と『Takeover Point』の語をそのまま用いると、違いがwhite-box内部表現かblack-box反実仮想かだけに見え、研究貢献が伝わりにくい。</w:t>
      </w:r>
      <w:r>
        <w:footnoteReference w:id="7"/>
      </w:r>
    </w:p>
    <w:p>
      <w:pPr>
        <w:pStyle w:val="Heading2"/>
      </w:pPr>
      <w:r>
        <w:t>2.3 残っているギャップ</w:t>
      </w:r>
    </w:p>
    <w:tbl>
      <w:tblPr>
        <w:tblW w:type="auto" w:w="0"/>
        <w:jc w:val="center"/>
        <w:tblLayout w:type="autofit"/>
        <w:tblLook w:firstColumn="1" w:firstRow="1" w:lastColumn="0" w:lastRow="0" w:noHBand="0" w:noVBand="1" w:val="04A0"/>
      </w:tblPr>
      <w:tblGrid>
        <w:gridCol w:w="10282"/>
      </w:tblGrid>
      <w:tr>
        <w:trPr>
          <w:tblHeader w:val="true"/>
        </w:trPr>
        <w:tc>
          <w:tcPr>
            <w:tcW w:type="dxa" w:w="10282"/>
            <w:shd w:fill="EEF4F8"/>
            <w:tcMar>
              <w:top w:w="130" w:type="dxa"/>
              <w:start w:w="180" w:type="dxa"/>
              <w:bottom w:w="130" w:type="dxa"/>
              <w:end w:w="180" w:type="dxa"/>
            </w:tcMar>
          </w:tcPr>
          <w:p>
            <w:pPr>
              <w:spacing w:after="60"/>
            </w:pPr>
            <w:r>
              <w:rPr>
                <w:b/>
                <w:color w:val="17324D"/>
                <w:sz w:val="21"/>
              </w:rPr>
              <w:t>回収可能な新規性</w:t>
            </w:r>
          </w:p>
          <w:p>
            <w:pPr>
              <w:spacing w:after="0" w:line="288" w:lineRule="auto"/>
            </w:pPr>
            <w:r>
              <w:rPr>
                <w:sz w:val="18"/>
              </w:rPr>
              <w:t>調査した文献の範囲では、(a) ユーザー目的と攻撃者目的を action と arguments/constraints に分け、(b) provenance/authority と mention/adoption/commitment を別の構成概念として測り、(c) tool-return内のtoken進行と次行動境界の両方で追跡し、(d) 同一ツール・異なる引数の攻撃まで扱う、という組合せは直接提示されていない。これを主張の中心にすれば、既存研究との差が明確になる。</w:t>
            </w:r>
          </w:p>
        </w:tc>
      </w:tr>
    </w:tbl>
    <w:p>
      <w:pPr>
        <w:spacing w:after="0"/>
      </w:pP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1800"/>
            <w:shd w:fill="17324D"/>
            <w:vAlign w:val="center"/>
          </w:tcPr>
          <w:p>
            <w:pPr>
              <w:spacing w:after="0" w:line="269" w:lineRule="auto"/>
            </w:pPr>
            <w:r/>
            <w:r>
              <w:rPr>
                <w:rFonts w:ascii="Noto Sans JP Text" w:hAnsi="Noto Sans JP Text" w:eastAsia="Noto Sans JP Text"/>
                <w:b/>
                <w:color w:val="FFFFFF"/>
                <w:sz w:val="15"/>
              </w:rPr>
              <w:t>研究群</w:t>
            </w:r>
          </w:p>
        </w:tc>
        <w:tc>
          <w:tcPr>
            <w:tcW w:type="dxa" w:w="3888"/>
            <w:shd w:fill="17324D"/>
            <w:vAlign w:val="center"/>
          </w:tcPr>
          <w:p>
            <w:pPr>
              <w:spacing w:after="0" w:line="269" w:lineRule="auto"/>
            </w:pPr>
            <w:r/>
            <w:r>
              <w:rPr>
                <w:rFonts w:ascii="Noto Sans JP Text" w:hAnsi="Noto Sans JP Text" w:eastAsia="Noto Sans JP Text"/>
                <w:b/>
                <w:color w:val="FFFFFF"/>
                <w:sz w:val="15"/>
              </w:rPr>
              <w:t>すでに示されたこと</w:t>
            </w:r>
          </w:p>
        </w:tc>
        <w:tc>
          <w:tcPr>
            <w:tcW w:type="dxa" w:w="4680"/>
            <w:shd w:fill="17324D"/>
            <w:vAlign w:val="center"/>
          </w:tcPr>
          <w:p>
            <w:pPr>
              <w:spacing w:after="0" w:line="269" w:lineRule="auto"/>
            </w:pPr>
            <w:r/>
            <w:r>
              <w:rPr>
                <w:rFonts w:ascii="Noto Sans JP Text" w:hAnsi="Noto Sans JP Text" w:eastAsia="Noto Sans JP Text"/>
                <w:b/>
                <w:color w:val="FFFFFF"/>
                <w:sz w:val="15"/>
              </w:rPr>
              <w:t>本研究で残す問い</w:t>
            </w:r>
          </w:p>
        </w:tc>
      </w:tr>
      <w:tr>
        <w:tc>
          <w:tcPr>
            <w:tcW w:type="dxa" w:w="1800"/>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Task drift / exposure probes</w:t>
            </w:r>
          </w:p>
        </w:tc>
        <w:tc>
          <w:tcPr>
            <w:tcW w:type="dxa" w:w="3888"/>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外部命令やIPI露出はhidden stateから判別可能</w:t>
            </w:r>
          </w:p>
        </w:tc>
        <w:tc>
          <w:tcPr>
            <w:tcW w:type="dxa" w:w="4680"/>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内容の存在ではなく、権限付与と具体行動への結合はいつ起きるか</w:t>
            </w:r>
          </w:p>
        </w:tc>
      </w:tr>
      <w:tr>
        <w:tc>
          <w:tcPr>
            <w:tcW w:type="dxa" w:w="1800"/>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Role confusion</w:t>
            </w:r>
          </w:p>
        </w:tc>
        <w:tc>
          <w:tcPr>
            <w:tcW w:type="dxa" w:w="3888"/>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Roleらしさは生成前から成功と関連</w:t>
            </w:r>
          </w:p>
        </w:tc>
        <w:tc>
          <w:tcPr>
            <w:tcW w:type="dxa" w:w="4680"/>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Roleだけでなく細粒度authorityとadoptionを分けられるか</w:t>
            </w:r>
          </w:p>
        </w:tc>
      </w:tr>
      <w:tr>
        <w:tc>
          <w:tcPr>
            <w:tcW w:type="dxa" w:w="1800"/>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IterInject</w:t>
            </w:r>
          </w:p>
        </w:tc>
        <w:tc>
          <w:tcPr>
            <w:tcW w:type="dxa" w:w="3888"/>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攻撃tokenへのAttention増幅と介入効果</w:t>
            </w:r>
          </w:p>
        </w:tc>
        <w:tc>
          <w:tcPr>
            <w:tcW w:type="dxa" w:w="4680"/>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Attentionを越えてaction/argument commitmentを予測・介入できるか</w:t>
            </w:r>
          </w:p>
        </w:tc>
      </w:tr>
      <w:tr>
        <w:tc>
          <w:tcPr>
            <w:tcW w:type="dxa" w:w="1800"/>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AgentSentry</w:t>
            </w:r>
          </w:p>
        </w:tc>
        <w:tc>
          <w:tcPr>
            <w:tcW w:type="dxa" w:w="3888"/>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tool-return境界で行動の因果的dominanceを局在化</w:t>
            </w:r>
          </w:p>
        </w:tc>
        <w:tc>
          <w:tcPr>
            <w:tcW w:type="dxa" w:w="4680"/>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同じ境界で内部表現の何が変わり、次行動に先行するか</w:t>
            </w:r>
          </w:p>
        </w:tc>
      </w:tr>
      <w:tr>
        <w:tc>
          <w:tcPr>
            <w:tcW w:type="dxa" w:w="1800"/>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Agentic attribution</w:t>
            </w:r>
          </w:p>
        </w:tc>
        <w:tc>
          <w:tcPr>
            <w:tcW w:type="dxa" w:w="3888"/>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履歴要素追加による行動尤度gainを測定</w:t>
            </w:r>
          </w:p>
        </w:tc>
        <w:tc>
          <w:tcPr>
            <w:tcW w:type="dxa" w:w="4680"/>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behavioral attributionと内部readoutが一致／乖離する条件は何か</w:t>
            </w:r>
          </w:p>
        </w:tc>
      </w:tr>
    </w:tbl>
    <w:p>
      <w:pPr>
        <w:spacing w:after="0"/>
      </w:pPr>
    </w:p>
    <w:p>
      <w:pPr>
        <w:pStyle w:val="Heading1"/>
      </w:pPr>
      <w:r>
        <w:t>3. 現行計画の妥当性評価</w:t>
      </w:r>
    </w:p>
    <w:p>
      <w:pPr>
        <w:pStyle w:val="Heading2"/>
      </w:pPr>
      <w:r>
        <w:t>3.1 維持すべき設計</w:t>
      </w:r>
    </w:p>
    <w:p>
      <w:pPr>
        <w:pStyle w:val="ListBullet"/>
        <w:spacing w:after="50" w:line="278" w:lineRule="auto"/>
        <w:ind w:left="288" w:hanging="173"/>
      </w:pPr>
      <w:r>
        <w:t>単一モデル・単一ドメインから開始し、一般化を過剰主張しない方針。</w:t>
      </w:r>
    </w:p>
    <w:p>
      <w:pPr>
        <w:pStyle w:val="ListBullet"/>
        <w:spacing w:after="50" w:line="278" w:lineRule="auto"/>
        <w:ind w:left="288" w:hanging="173"/>
      </w:pPr>
      <w:r>
        <w:t>攻撃成功ラベルをGoal readoutの教師にせず、正常な単一目的実行から構成する方針。</w:t>
      </w:r>
    </w:p>
    <w:p>
      <w:pPr>
        <w:pStyle w:val="ListBullet"/>
        <w:spacing w:after="50" w:line="278" w:lineRule="auto"/>
        <w:ind w:left="288" w:hanging="173"/>
      </w:pPr>
      <w:r>
        <w:t>同一seed反復を独立な成功／失敗差として扱わず、意味的に対応した入力変種を使う方針。</w:t>
      </w:r>
    </w:p>
    <w:p>
      <w:pPr>
        <w:pStyle w:val="ListBullet"/>
        <w:spacing w:after="50" w:line="278" w:lineRule="auto"/>
        <w:ind w:left="288" w:hanging="173"/>
      </w:pPr>
      <w:r>
        <w:t>Task/Attack/Paraphrase familyを跨がないgroup-aware split。</w:t>
      </w:r>
    </w:p>
    <w:p>
      <w:pPr>
        <w:pStyle w:val="ListBullet"/>
        <w:spacing w:after="50" w:line="278" w:lineRule="auto"/>
        <w:ind w:left="288" w:hanging="173"/>
      </w:pPr>
      <w:r>
        <w:t>効果量・95%信頼区間・階層構造を意識し、Activation Patchingを条件付き発展課題とする方針。</w:t>
      </w:r>
    </w:p>
    <w:p>
      <w:pPr>
        <w:pStyle w:val="Heading2"/>
      </w:pPr>
      <w:r>
        <w:t>3.2 変更しないと結論が弱くなる点</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2232"/>
            <w:shd w:fill="17324D"/>
            <w:vAlign w:val="center"/>
          </w:tcPr>
          <w:p>
            <w:pPr>
              <w:spacing w:after="0" w:line="269" w:lineRule="auto"/>
            </w:pPr>
            <w:r/>
            <w:r>
              <w:rPr>
                <w:rFonts w:ascii="Noto Sans JP Text" w:hAnsi="Noto Sans JP Text" w:eastAsia="Noto Sans JP Text"/>
                <w:b/>
                <w:color w:val="FFFFFF"/>
                <w:sz w:val="15"/>
              </w:rPr>
              <w:t>現行案</w:t>
            </w:r>
          </w:p>
        </w:tc>
        <w:tc>
          <w:tcPr>
            <w:tcW w:type="dxa" w:w="3600"/>
            <w:shd w:fill="17324D"/>
            <w:vAlign w:val="center"/>
          </w:tcPr>
          <w:p>
            <w:pPr>
              <w:spacing w:after="0" w:line="269" w:lineRule="auto"/>
            </w:pPr>
            <w:r/>
            <w:r>
              <w:rPr>
                <w:rFonts w:ascii="Noto Sans JP Text" w:hAnsi="Noto Sans JP Text" w:eastAsia="Noto Sans JP Text"/>
                <w:b/>
                <w:color w:val="FFFFFF"/>
                <w:sz w:val="15"/>
              </w:rPr>
              <w:t>問題</w:t>
            </w:r>
          </w:p>
        </w:tc>
        <w:tc>
          <w:tcPr>
            <w:tcW w:type="dxa" w:w="4536"/>
            <w:shd w:fill="17324D"/>
            <w:vAlign w:val="center"/>
          </w:tcPr>
          <w:p>
            <w:pPr>
              <w:spacing w:after="0" w:line="269" w:lineRule="auto"/>
            </w:pPr>
            <w:r/>
            <w:r>
              <w:rPr>
                <w:rFonts w:ascii="Noto Sans JP Text" w:hAnsi="Noto Sans JP Text" w:eastAsia="Noto Sans JP Text"/>
                <w:b/>
                <w:color w:val="FFFFFF"/>
                <w:sz w:val="15"/>
              </w:rPr>
              <w:t>改訂</w:t>
            </w:r>
          </w:p>
        </w:tc>
      </w:tr>
      <w:tr>
        <w:tc>
          <w:tcPr>
            <w:tcW w:type="dxa" w:w="2232"/>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目的カテゴリ＝要約／送信／削除</w:t>
            </w:r>
          </w:p>
        </w:tc>
        <w:tc>
          <w:tcPr>
            <w:tcW w:type="dxa" w:w="3600"/>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語彙・ツール名の判別になりやすい</w:t>
            </w:r>
          </w:p>
        </w:tc>
        <w:tc>
          <w:tcPr>
            <w:tcW w:type="dxa" w:w="4536"/>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action、argument、constraintを別readoutにする</w:t>
            </w:r>
          </w:p>
        </w:tc>
      </w:tr>
      <w:tr>
        <w:tc>
          <w:tcPr>
            <w:tcW w:type="dxa" w:w="2232"/>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User/Attackが同カテゴリなら除外</w:t>
            </w:r>
          </w:p>
        </w:tc>
        <w:tc>
          <w:tcPr>
            <w:tcW w:type="dxa" w:w="3600"/>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recipientやamountの置換を捨てる</w:t>
            </w:r>
          </w:p>
        </w:tc>
        <w:tc>
          <w:tcPr>
            <w:tcW w:type="dxa" w:w="4536"/>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同一action・異argumentを主条件にする</w:t>
            </w:r>
          </w:p>
        </w:tc>
      </w:tr>
      <w:tr>
        <w:tc>
          <w:tcPr>
            <w:tcW w:type="dxa" w:w="2232"/>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段階3・4・5</w:t>
            </w:r>
          </w:p>
        </w:tc>
        <w:tc>
          <w:tcPr>
            <w:tcW w:type="dxa" w:w="3600"/>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実装上同じprefix/token位置になり得る</w:t>
            </w:r>
          </w:p>
        </w:tc>
        <w:tc>
          <w:tcPr>
            <w:tcW w:type="dxa" w:w="4536"/>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Boundary軸とtool-output内token軸を分ける</w:t>
            </w:r>
          </w:p>
        </w:tc>
      </w:tr>
      <w:tr>
        <w:tc>
          <w:tcPr>
            <w:tcW w:type="dxa" w:w="2232"/>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最終readoutと最終logit差の相関</w:t>
            </w:r>
          </w:p>
        </w:tc>
        <w:tc>
          <w:tcPr>
            <w:tcW w:type="dxa" w:w="3600"/>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同時点・最終層では構造的に相関し得る</w:t>
            </w:r>
          </w:p>
        </w:tc>
        <w:tc>
          <w:tcPr>
            <w:tcW w:type="dxa" w:w="4536"/>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早期境界／中間層が後のmarginを予測するかを主解析にする</w:t>
            </w:r>
          </w:p>
        </w:tc>
      </w:tr>
      <w:tr>
        <w:tc>
          <w:tcPr>
            <w:tcW w:type="dxa" w:w="2232"/>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800 PI実行</w:t>
            </w:r>
          </w:p>
        </w:tc>
        <w:tc>
          <w:tcPr>
            <w:tcW w:type="dxa" w:w="3600"/>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20 task×4 template×10 paraphraseは800独立標本ではない</w:t>
            </w:r>
          </w:p>
        </w:tc>
        <w:tc>
          <w:tcPr>
            <w:tcW w:type="dxa" w:w="4536"/>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独立cluster数を増やし、最高位clusterで推論する</w:t>
            </w:r>
          </w:p>
        </w:tc>
      </w:tr>
      <w:tr>
        <w:tc>
          <w:tcPr>
            <w:tcW w:type="dxa" w:w="2232"/>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全Attention保存</w:t>
            </w:r>
          </w:p>
        </w:tc>
        <w:tc>
          <w:tcPr>
            <w:tcW w:type="dxa" w:w="3600"/>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長系列・全層・全headでは容量が支配的</w:t>
            </w:r>
          </w:p>
        </w:tc>
        <w:tc>
          <w:tcPr>
            <w:tcW w:type="dxa" w:w="4536"/>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攻撃spanへの集約量をonline保存し、full matrixはpilot subsetのみ</w:t>
            </w:r>
          </w:p>
        </w:tc>
      </w:tr>
    </w:tbl>
    <w:p>
      <w:pPr>
        <w:spacing w:after="0"/>
      </w:pPr>
    </w:p>
    <w:p>
      <w:pPr>
        <w:pStyle w:val="Heading1"/>
      </w:pPr>
      <w:r>
        <w:t>4. 構成概念の再定義</w:t>
      </w:r>
    </w:p>
    <w:p>
      <w:pPr>
        <w:pStyle w:val="Heading2"/>
      </w:pPr>
      <w:r>
        <w:t>4.1 『目的表現』を構造化する</w:t>
      </w:r>
    </w:p>
    <w:p>
      <w:pPr>
        <w:spacing w:after="90" w:line="293" w:lineRule="auto"/>
      </w:pPr>
      <w:r>
        <w:t>目的を単一カテゴリではなく、g = (action, arguments/constraints, source/authority, status) と定義する。ここで status は少なくとも mention（内容が表現される）、authorized/adopted（正当な命令として扱われる）、committed（具体的な次行動として選好される）に分ける。</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1728"/>
            <w:shd w:fill="17324D"/>
            <w:vAlign w:val="center"/>
          </w:tcPr>
          <w:p>
            <w:pPr>
              <w:spacing w:after="0" w:line="269" w:lineRule="auto"/>
            </w:pPr>
            <w:r/>
            <w:r>
              <w:rPr>
                <w:rFonts w:ascii="Noto Sans JP Text" w:hAnsi="Noto Sans JP Text" w:eastAsia="Noto Sans JP Text"/>
                <w:b/>
                <w:color w:val="FFFFFF"/>
                <w:sz w:val="15"/>
              </w:rPr>
              <w:t>成分</w:t>
            </w:r>
          </w:p>
        </w:tc>
        <w:tc>
          <w:tcPr>
            <w:tcW w:type="dxa" w:w="3168"/>
            <w:shd w:fill="17324D"/>
            <w:vAlign w:val="center"/>
          </w:tcPr>
          <w:p>
            <w:pPr>
              <w:spacing w:after="0" w:line="269" w:lineRule="auto"/>
            </w:pPr>
            <w:r/>
            <w:r>
              <w:rPr>
                <w:rFonts w:ascii="Noto Sans JP Text" w:hAnsi="Noto Sans JP Text" w:eastAsia="Noto Sans JP Text"/>
                <w:b/>
                <w:color w:val="FFFFFF"/>
                <w:sz w:val="15"/>
              </w:rPr>
              <w:t>例</w:t>
            </w:r>
          </w:p>
        </w:tc>
        <w:tc>
          <w:tcPr>
            <w:tcW w:type="dxa" w:w="5472"/>
            <w:shd w:fill="17324D"/>
            <w:vAlign w:val="center"/>
          </w:tcPr>
          <w:p>
            <w:pPr>
              <w:spacing w:after="0" w:line="269" w:lineRule="auto"/>
            </w:pPr>
            <w:r/>
            <w:r>
              <w:rPr>
                <w:rFonts w:ascii="Noto Sans JP Text" w:hAnsi="Noto Sans JP Text" w:eastAsia="Noto Sans JP Text"/>
                <w:b/>
                <w:color w:val="FFFFFF"/>
                <w:sz w:val="15"/>
              </w:rPr>
              <w:t>推奨測定</w:t>
            </w:r>
          </w:p>
        </w:tc>
      </w:tr>
      <w:tr>
        <w:tc>
          <w:tcPr>
            <w:tcW w:type="dxa" w:w="1728"/>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action</w:t>
            </w:r>
          </w:p>
        </w:tc>
        <w:tc>
          <w:tcPr>
            <w:tcW w:type="dxa" w:w="3168"/>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send_email / transfer / delete</w:t>
            </w:r>
          </w:p>
        </w:tc>
        <w:tc>
          <w:tcPr>
            <w:tcW w:type="dxa" w:w="5472"/>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multi-label action probe、tool-name margin</w:t>
            </w:r>
          </w:p>
        </w:tc>
      </w:tr>
      <w:tr>
        <w:tc>
          <w:tcPr>
            <w:tcW w:type="dxa" w:w="1728"/>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arguments</w:t>
            </w:r>
          </w:p>
        </w:tc>
        <w:tc>
          <w:tcPr>
            <w:tcW w:type="dxa" w:w="3168"/>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recipient、account、amount、file_id</w:t>
            </w:r>
          </w:p>
        </w:tc>
        <w:tc>
          <w:tcPr>
            <w:tcW w:type="dxa" w:w="5472"/>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slot別probe、first-discriminating-token margin</w:t>
            </w:r>
          </w:p>
        </w:tc>
      </w:tr>
      <w:tr>
        <w:tc>
          <w:tcPr>
            <w:tcW w:type="dxa" w:w="1728"/>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constraints</w:t>
            </w:r>
          </w:p>
        </w:tc>
        <w:tc>
          <w:tcPr>
            <w:tcW w:type="dxa" w:w="3168"/>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上限額、共有範囲、期日</w:t>
            </w:r>
          </w:p>
        </w:tc>
        <w:tc>
          <w:tcPr>
            <w:tcW w:type="dxa" w:w="5472"/>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属性別probe、constraint violation evaluator</w:t>
            </w:r>
          </w:p>
        </w:tc>
      </w:tr>
      <w:tr>
        <w:tc>
          <w:tcPr>
            <w:tcW w:type="dxa" w:w="1728"/>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source / authority</w:t>
            </w:r>
          </w:p>
        </w:tc>
        <w:tc>
          <w:tcPr>
            <w:tcW w:type="dxa" w:w="3168"/>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user、tool、system、untrusted content</w:t>
            </w:r>
          </w:p>
        </w:tc>
        <w:tc>
          <w:tcPr>
            <w:tcW w:type="dxa" w:w="5472"/>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同一text・異role/statusのmatched probe</w:t>
            </w:r>
          </w:p>
        </w:tc>
      </w:tr>
      <w:tr>
        <w:tc>
          <w:tcPr>
            <w:tcW w:type="dxa" w:w="1728"/>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status</w:t>
            </w:r>
          </w:p>
        </w:tc>
        <w:tc>
          <w:tcPr>
            <w:tcW w:type="dxa" w:w="3168"/>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quoted / prohibited / authorized / committed</w:t>
            </w:r>
          </w:p>
        </w:tc>
        <w:tc>
          <w:tcPr>
            <w:tcW w:type="dxa" w:w="5472"/>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対照データ＋後続行動への先行予測</w:t>
            </w:r>
          </w:p>
        </w:tc>
      </w:tr>
    </w:tbl>
    <w:p>
      <w:pPr>
        <w:spacing w:after="0"/>
      </w:pPr>
    </w:p>
    <w:p>
      <w:pPr>
        <w:spacing w:after="90" w:line="293" w:lineRule="auto"/>
      </w:pPr>
      <w:r>
        <w:t>この分解により、『攻撃目的が読めるが、Tool由来として正しく隔離されている』状態と、『User相当の権限を与え、攻撃引数へcommitした』状態を区別できる。これは最近のIPI exposure研究が示すknowledge–action gapとも整合する。</w:t>
      </w:r>
    </w:p>
    <w:p>
      <w:pPr>
        <w:pStyle w:val="Heading2"/>
      </w:pPr>
      <w:r>
        <w:t>4.2 Roleではなくauthorityを扱う</w:t>
      </w:r>
    </w:p>
    <w:p>
      <w:pPr>
        <w:spacing w:after="90" w:line="293" w:lineRule="auto"/>
      </w:pPr>
      <w:r>
        <w:t>Role tokenは入力形式上のsourceであり、モデルが付与する実効的なauthorityと同一ではない。Many-Tier Instruction Hierarchyは、現実のエージェントでは固定的な数個のRoleだけでは足りず、最大12段階のprivilege conflictでfrontier modelも約40%に留まると報告する。粗いUser/Tool二値だけでなく、信頼度・委任範囲・明示性を事前要因として記録する。</w:t>
      </w:r>
      <w:r>
        <w:footnoteReference w:id="8"/>
      </w:r>
    </w:p>
    <w:p>
      <w:pPr>
        <w:pStyle w:val="Heading1"/>
      </w:pPr>
      <w:r>
        <w:t>5. 時系列設計の再構築</w:t>
      </w:r>
    </w:p>
    <w:p>
      <w:pPr>
        <w:pStyle w:val="Heading2"/>
      </w:pPr>
      <w:r>
        <w:t>5.1 二つの時間軸を分ける</w:t>
      </w:r>
    </w:p>
    <w:p>
      <w:pPr>
        <w:spacing w:after="90" w:line="293" w:lineRule="auto"/>
      </w:pPr>
      <w:r>
        <w:t>『いつ』には、agent loopの境界と、単一forward pass内のtoken位置という異なる意味がある。両者を混ぜると段階名は違っても同一activationを保存する危険がある。以下のように定義し、各時点のserialized message列、token index、assistant-generation markerをmanifestへ保存する。</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1728"/>
            <w:shd w:fill="17324D"/>
            <w:vAlign w:val="center"/>
          </w:tcPr>
          <w:p>
            <w:pPr>
              <w:spacing w:after="0" w:line="269" w:lineRule="auto"/>
            </w:pPr>
            <w:r/>
            <w:r>
              <w:rPr>
                <w:rFonts w:ascii="Noto Sans JP Text" w:hAnsi="Noto Sans JP Text" w:eastAsia="Noto Sans JP Text"/>
                <w:b/>
                <w:color w:val="FFFFFF"/>
                <w:sz w:val="15"/>
              </w:rPr>
              <w:t>軸</w:t>
            </w:r>
          </w:p>
        </w:tc>
        <w:tc>
          <w:tcPr>
            <w:tcW w:type="dxa" w:w="936"/>
            <w:shd w:fill="17324D"/>
            <w:vAlign w:val="center"/>
          </w:tcPr>
          <w:p>
            <w:pPr>
              <w:spacing w:after="0" w:line="269" w:lineRule="auto"/>
            </w:pPr>
            <w:r/>
            <w:r>
              <w:rPr>
                <w:rFonts w:ascii="Noto Sans JP Text" w:hAnsi="Noto Sans JP Text" w:eastAsia="Noto Sans JP Text"/>
                <w:b/>
                <w:color w:val="FFFFFF"/>
                <w:sz w:val="15"/>
              </w:rPr>
              <w:t>記号</w:t>
            </w:r>
          </w:p>
        </w:tc>
        <w:tc>
          <w:tcPr>
            <w:tcW w:type="dxa" w:w="4680"/>
            <w:shd w:fill="17324D"/>
            <w:vAlign w:val="center"/>
          </w:tcPr>
          <w:p>
            <w:pPr>
              <w:spacing w:after="0" w:line="269" w:lineRule="auto"/>
            </w:pPr>
            <w:r/>
            <w:r>
              <w:rPr>
                <w:rFonts w:ascii="Noto Sans JP Text" w:hAnsi="Noto Sans JP Text" w:eastAsia="Noto Sans JP Text"/>
                <w:b/>
                <w:color w:val="FFFFFF"/>
                <w:sz w:val="15"/>
              </w:rPr>
              <w:t>定義</w:t>
            </w:r>
          </w:p>
        </w:tc>
        <w:tc>
          <w:tcPr>
            <w:tcW w:type="dxa" w:w="3024"/>
            <w:shd w:fill="17324D"/>
            <w:vAlign w:val="center"/>
          </w:tcPr>
          <w:p>
            <w:pPr>
              <w:spacing w:after="0" w:line="269" w:lineRule="auto"/>
            </w:pPr>
            <w:r/>
            <w:r>
              <w:rPr>
                <w:rFonts w:ascii="Noto Sans JP Text" w:hAnsi="Noto Sans JP Text" w:eastAsia="Noto Sans JP Text"/>
                <w:b/>
                <w:color w:val="FFFFFF"/>
                <w:sz w:val="15"/>
              </w:rPr>
              <w:t>役割</w:t>
            </w:r>
          </w:p>
        </w:tc>
      </w:tr>
      <w:tr>
        <w:tc>
          <w:tcPr>
            <w:tcW w:type="dxa" w:w="1728"/>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Agent boundary</w:t>
            </w:r>
          </w:p>
        </w:tc>
        <w:tc>
          <w:tcPr>
            <w:tcW w:type="dxa" w:w="936"/>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B0</w:t>
            </w:r>
          </w:p>
        </w:tc>
        <w:tc>
          <w:tcPr>
            <w:tcW w:type="dxa" w:w="4680"/>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user instruction後、最初の行動生成直前</w:t>
            </w:r>
          </w:p>
        </w:tc>
        <w:tc>
          <w:tcPr>
            <w:tcW w:type="dxa" w:w="3024"/>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初期user goal</w:t>
            </w:r>
          </w:p>
        </w:tc>
      </w:tr>
      <w:tr>
        <w:tc>
          <w:tcPr>
            <w:tcW w:type="dxa" w:w="1728"/>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Agent boundary</w:t>
            </w:r>
          </w:p>
        </w:tc>
        <w:tc>
          <w:tcPr>
            <w:tcW w:type="dxa" w:w="936"/>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B1</w:t>
            </w:r>
          </w:p>
        </w:tc>
        <w:tc>
          <w:tcPr>
            <w:tcW w:type="dxa" w:w="4680"/>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最初のtool return後、次行動生成直前</w:t>
            </w:r>
          </w:p>
        </w:tc>
        <w:tc>
          <w:tcPr>
            <w:tcW w:type="dxa" w:w="3024"/>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IPIが行動可能になる主要境界</w:t>
            </w:r>
          </w:p>
        </w:tc>
      </w:tr>
      <w:tr>
        <w:tc>
          <w:tcPr>
            <w:tcW w:type="dxa" w:w="1728"/>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Agent boundary</w:t>
            </w:r>
          </w:p>
        </w:tc>
        <w:tc>
          <w:tcPr>
            <w:tcW w:type="dxa" w:w="936"/>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B2+</w:t>
            </w:r>
          </w:p>
        </w:tc>
        <w:tc>
          <w:tcPr>
            <w:tcW w:type="dxa" w:w="4680"/>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後続tool returnごとの次行動直前</w:t>
            </w:r>
          </w:p>
        </w:tc>
        <w:tc>
          <w:tcPr>
            <w:tcW w:type="dxa" w:w="3024"/>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遅延効果・持続性</w:t>
            </w:r>
          </w:p>
        </w:tc>
      </w:tr>
      <w:tr>
        <w:tc>
          <w:tcPr>
            <w:tcW w:type="dxa" w:w="1728"/>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Within-output</w:t>
            </w:r>
          </w:p>
        </w:tc>
        <w:tc>
          <w:tcPr>
            <w:tcW w:type="dxa" w:w="936"/>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Tpre</w:t>
            </w:r>
          </w:p>
        </w:tc>
        <w:tc>
          <w:tcPr>
            <w:tcW w:type="dxa" w:w="4680"/>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injected span直前</w:t>
            </w:r>
          </w:p>
        </w:tc>
        <w:tc>
          <w:tcPr>
            <w:tcW w:type="dxa" w:w="3024"/>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tool文脈ベースライン</w:t>
            </w:r>
          </w:p>
        </w:tc>
      </w:tr>
      <w:tr>
        <w:tc>
          <w:tcPr>
            <w:tcW w:type="dxa" w:w="1728"/>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Within-output</w:t>
            </w:r>
          </w:p>
        </w:tc>
        <w:tc>
          <w:tcPr>
            <w:tcW w:type="dxa" w:w="936"/>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Tpost</w:t>
            </w:r>
          </w:p>
        </w:tc>
        <w:tc>
          <w:tcPr>
            <w:tcW w:type="dxa" w:w="4680"/>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injected span直後</w:t>
            </w:r>
          </w:p>
        </w:tc>
        <w:tc>
          <w:tcPr>
            <w:tcW w:type="dxa" w:w="3024"/>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内容表現の立上がり</w:t>
            </w:r>
          </w:p>
        </w:tc>
      </w:tr>
      <w:tr>
        <w:tc>
          <w:tcPr>
            <w:tcW w:type="dxa" w:w="1728"/>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Within-output</w:t>
            </w:r>
          </w:p>
        </w:tc>
        <w:tc>
          <w:tcPr>
            <w:tcW w:type="dxa" w:w="936"/>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Tend</w:t>
            </w:r>
          </w:p>
        </w:tc>
        <w:tc>
          <w:tcPr>
            <w:tcW w:type="dxa" w:w="4680"/>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tool output末尾／assistant marker</w:t>
            </w:r>
          </w:p>
        </w:tc>
        <w:tc>
          <w:tcPr>
            <w:tcW w:type="dxa" w:w="3024"/>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次行動へ渡る状態</w:t>
            </w:r>
          </w:p>
        </w:tc>
      </w:tr>
    </w:tbl>
    <w:p>
      <w:pPr>
        <w:spacing w:after="0"/>
      </w:pPr>
    </w:p>
    <w:p>
      <w:pPr>
        <w:pStyle w:val="Heading2"/>
      </w:pPr>
      <w:r>
        <w:t>5.2 行動尤度のbehavioral baselineを置く</w:t>
      </w:r>
    </w:p>
    <w:p>
      <w:pPr>
        <w:spacing w:after="90" w:line="293" w:lineRule="auto"/>
      </w:pPr>
      <w:r>
        <w:t>Agentic Attributionは履歴要素を順に追加し、実現行動のlog likelihood gainを測る時間的帰属を提案している。内部readoutだけで『どの履歴が効いた』と主張せず、B0→B1やTpre→Tpostで正規／攻撃tool callの尤度がどれだけ変わるかをbehavioral baselineとして併記する。</w:t>
      </w:r>
      <w:r>
        <w:footnoteReference w:id="9"/>
      </w:r>
    </w:p>
    <w:p>
      <w:pPr>
        <w:pStyle w:val="Heading1"/>
      </w:pPr>
      <w:r>
        <w:t>6. 行動指標の修正</w:t>
      </w:r>
    </w:p>
    <w:p>
      <w:pPr>
        <w:pStyle w:val="Heading2"/>
      </w:pPr>
      <w:r>
        <w:t>6.1 Tool名と引数を分ける</w:t>
      </w:r>
    </w:p>
    <w:p>
      <w:pPr>
        <w:spacing w:after="90" w:line="293" w:lineRule="auto"/>
      </w:pPr>
      <w:r>
        <w:t>主指標を単純な attack-tool minus legitimate-tool だけにしない。同一toolを使いrecipientやaccountだけが置き換わる場合、tool-name marginは0でも攻撃は成立する。正規呼出し aL と攻撃呼出し aA を同一prefixでteacher-forceし、以下を保存する。</w:t>
      </w:r>
    </w:p>
    <w:p>
      <w:pPr>
        <w:pStyle w:val="ListBullet"/>
        <w:spacing w:after="50" w:line="278" w:lineRule="auto"/>
        <w:ind w:left="288" w:hanging="173"/>
      </w:pPr>
      <w:r>
        <w:t>tool-name margin：ツール種別が異なる条件のみ。</w:t>
      </w:r>
    </w:p>
    <w:p>
      <w:pPr>
        <w:pStyle w:val="ListBullet"/>
        <w:spacing w:after="50" w:line="278" w:lineRule="auto"/>
        <w:ind w:left="288" w:hanging="173"/>
      </w:pPr>
      <w:r>
        <w:t>first-discriminating-token margin：正規呼出しと攻撃呼出しが最初に分岐するtokenでのlogit差。主指標候補。</w:t>
      </w:r>
    </w:p>
    <w:p>
      <w:pPr>
        <w:pStyle w:val="ListBullet"/>
        <w:spacing w:after="50" w:line="278" w:lineRule="auto"/>
        <w:ind w:left="288" w:hanging="173"/>
      </w:pPr>
      <w:r>
        <w:t>sequence log-probability difference：呼出し全体。ただし長さ依存があるためtotalとlength-normalizedを両方報告。</w:t>
      </w:r>
    </w:p>
    <w:p>
      <w:pPr>
        <w:pStyle w:val="ListBullet"/>
        <w:spacing w:after="50" w:line="278" w:lineRule="auto"/>
        <w:ind w:left="288" w:hanging="173"/>
      </w:pPr>
      <w:r>
        <w:t>argument-slot margin：recipient / amount / target IDなど、形式化できるslotごとの比較。</w:t>
      </w:r>
    </w:p>
    <w:p>
      <w:pPr>
        <w:pStyle w:val="ListBullet"/>
        <w:spacing w:after="50" w:line="278" w:lineRule="auto"/>
        <w:ind w:left="288" w:hanging="173"/>
      </w:pPr>
      <w:r>
        <w:t>環境状態によるutility/security check：AgentDojoの実行結果を最終外部妥当性として保持。</w:t>
      </w:r>
    </w:p>
    <w:p>
      <w:pPr>
        <w:pStyle w:val="Heading2"/>
      </w:pPr>
      <w:r>
        <w:t>6.2 同時点の相関を主張の中心にしない</w:t>
      </w:r>
    </w:p>
    <w:p>
      <w:pPr>
        <w:spacing w:after="90" w:line="293" w:lineRule="auto"/>
      </w:pPr>
      <w:r>
        <w:t>最終層・最終tokenの線形readoutと同じ位置のlogit差は、unembedding自体が線形であるため高相関が出やすい。主解析は『B1またはTendの中間層readoutが、後のdecision boundaryにおけるargument/action marginを予測するか』とする。最終層の同時点相関はsanity checkへ下げる。</w:t>
      </w:r>
    </w:p>
    <w:p>
      <w:pPr>
        <w:pStyle w:val="Heading1"/>
      </w:pPr>
      <w:r>
        <w:t>7. Probeの妥当性と対照</w:t>
      </w:r>
    </w:p>
    <w:p>
      <w:pPr>
        <w:spacing w:after="90" w:line="293" w:lineRule="auto"/>
      </w:pPr>
      <w:r>
        <w:t>Probeの精度は、モデルがその情報を行動に使用していることを直接意味しない。Hewitt &amp; Liangは、Probeが表現ではなくラベル対応を記憶できるためcontrol taskとselectivityが必要だと論じる。 また、instruction-following方向が未知taskには一般化しても未知instruction typeには一般化せず、表現が言い換えに強く依存した例もある。</w:t>
      </w:r>
      <w:r>
        <w:footnoteReference w:id="11"/>
      </w:r>
      <w:r>
        <w:footnoteReference w:id="10"/>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2952"/>
            <w:shd w:fill="17324D"/>
            <w:vAlign w:val="center"/>
          </w:tcPr>
          <w:p>
            <w:pPr>
              <w:spacing w:after="0" w:line="269" w:lineRule="auto"/>
            </w:pPr>
            <w:r/>
            <w:r>
              <w:rPr>
                <w:rFonts w:ascii="Noto Sans JP Text" w:hAnsi="Noto Sans JP Text" w:eastAsia="Noto Sans JP Text"/>
                <w:b/>
                <w:color w:val="FFFFFF"/>
                <w:sz w:val="15"/>
              </w:rPr>
              <w:t>必須対照</w:t>
            </w:r>
          </w:p>
        </w:tc>
        <w:tc>
          <w:tcPr>
            <w:tcW w:type="dxa" w:w="7416"/>
            <w:shd w:fill="17324D"/>
            <w:vAlign w:val="center"/>
          </w:tcPr>
          <w:p>
            <w:pPr>
              <w:spacing w:after="0" w:line="269" w:lineRule="auto"/>
            </w:pPr>
            <w:r/>
            <w:r>
              <w:rPr>
                <w:rFonts w:ascii="Noto Sans JP Text" w:hAnsi="Noto Sans JP Text" w:eastAsia="Noto Sans JP Text"/>
                <w:b/>
                <w:color w:val="FFFFFF"/>
                <w:sz w:val="15"/>
              </w:rPr>
              <w:t>実装</w:t>
            </w:r>
          </w:p>
        </w:tc>
      </w:tr>
      <w:tr>
        <w:tc>
          <w:tcPr>
            <w:tcW w:type="dxa" w:w="2952"/>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Matched text / different authority</w:t>
            </w:r>
          </w:p>
        </w:tc>
        <w:tc>
          <w:tcPr>
            <w:tcW w:type="dxa" w:w="7416"/>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同一文字列をUser、Tool、quote、prohibition、past actionに置く</w:t>
            </w:r>
          </w:p>
        </w:tc>
      </w:tr>
      <w:tr>
        <w:tc>
          <w:tcPr>
            <w:tcW w:type="dxa" w:w="2952"/>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Lexical baseline</w:t>
            </w:r>
          </w:p>
        </w:tc>
        <w:tc>
          <w:tcPr>
            <w:tcW w:type="dxa" w:w="7416"/>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TF-IDF＋logistic regression、または入力embeddingのみのclassifier</w:t>
            </w:r>
          </w:p>
        </w:tc>
      </w:tr>
      <w:tr>
        <w:tc>
          <w:tcPr>
            <w:tcW w:type="dxa" w:w="2952"/>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Control task / random label</w:t>
            </w:r>
          </w:p>
        </w:tc>
        <w:tc>
          <w:tcPr>
            <w:tcW w:type="dxa" w:w="7416"/>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同じgroup構造で無意味ラベルを学習しselectivityを計算</w:t>
            </w:r>
          </w:p>
        </w:tc>
      </w:tr>
      <w:tr>
        <w:tc>
          <w:tcPr>
            <w:tcW w:type="dxa" w:w="2952"/>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Held-out semantics</w:t>
            </w:r>
          </w:p>
        </w:tc>
        <w:tc>
          <w:tcPr>
            <w:tcW w:type="dxa" w:w="7416"/>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未知action、未知argument type、未知attack style、未知task familyを別々にテスト</w:t>
            </w:r>
          </w:p>
        </w:tc>
      </w:tr>
      <w:tr>
        <w:tc>
          <w:tcPr>
            <w:tcW w:type="dxa" w:w="2952"/>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Nested selection</w:t>
            </w:r>
          </w:p>
        </w:tc>
        <w:tc>
          <w:tcPr>
            <w:tcW w:type="dxa" w:w="7416"/>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layer・正則化・閾値はvalidationのみで選び、testは最後に一度</w:t>
            </w:r>
          </w:p>
        </w:tc>
      </w:tr>
      <w:tr>
        <w:tc>
          <w:tcPr>
            <w:tcW w:type="dxa" w:w="2952"/>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Calibration</w:t>
            </w:r>
          </w:p>
        </w:tc>
        <w:tc>
          <w:tcPr>
            <w:tcW w:type="dxa" w:w="7416"/>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validationだけで較正し、Brier score/ECEも記録</w:t>
            </w:r>
          </w:p>
        </w:tc>
      </w:tr>
      <w:tr>
        <w:tc>
          <w:tcPr>
            <w:tcW w:type="dxa" w:w="2952"/>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Permutation inference</w:t>
            </w:r>
          </w:p>
        </w:tc>
        <w:tc>
          <w:tcPr>
            <w:tcW w:type="dxa" w:w="7416"/>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最高位cluster単位でlabel permutationし偶然の高AUROCを評価</w:t>
            </w:r>
          </w:p>
        </w:tc>
      </w:tr>
    </w:tbl>
    <w:p>
      <w:pPr>
        <w:spacing w:after="0"/>
      </w:pPr>
    </w:p>
    <w:p>
      <w:pPr>
        <w:pStyle w:val="Heading1"/>
      </w:pPr>
      <w:r>
        <w:t>8. 改訂版Research Questionsと仮説</w:t>
      </w:r>
    </w:p>
    <w:p>
      <w:pPr>
        <w:pStyle w:val="ListNumber"/>
        <w:spacing w:after="60" w:line="278" w:lineRule="auto"/>
        <w:ind w:left="317" w:hanging="216"/>
      </w:pPr>
      <w:r>
        <w:t>RQ1：意味内容を保ったRole・引用・否定・委任のmatched conditionと未知goal familyにおいて、action/argument内容とauthority/statusを独立にdecodeできるか。</w:t>
      </w:r>
    </w:p>
    <w:p>
      <w:pPr>
        <w:pStyle w:val="ListNumber"/>
        <w:spacing w:after="60" w:line="278" w:lineRule="auto"/>
        <w:ind w:left="317" w:hanging="216"/>
      </w:pPr>
      <w:r>
        <w:t>RQ2：IPI spanの処理後、attacker goal featureが『表現される』状態から、具体的tool action/argumentへ『commitされる』状態へ移るのは、どのtoken位置・層・agent boundaryか。</w:t>
      </w:r>
    </w:p>
    <w:p>
      <w:pPr>
        <w:pStyle w:val="ListNumber"/>
        <w:spacing w:after="60" w:line="278" w:lineRule="auto"/>
        <w:ind w:left="317" w:hanging="216"/>
      </w:pPr>
      <w:r>
        <w:t>RQ3：この遷移は、IPI exposure、role confusion、task underspecification、prompt surface、attack-span attentionを超えて、後の攻撃margin／実行結果を説明するか。</w:t>
      </w:r>
    </w:p>
    <w:p>
      <w:pPr>
        <w:pStyle w:val="ListNumber"/>
        <w:spacing w:after="60" w:line="278" w:lineRule="auto"/>
        <w:ind w:left="317" w:hanging="216"/>
      </w:pPr>
      <w:r>
        <w:t>RQ4（発展）：in-distributionで意味的に対応した双方向Activation Patchingは、clean utilityを壊さずに正規化action marginを移動させるか。</w:t>
      </w:r>
    </w:p>
    <w:p>
      <w:pPr>
        <w:spacing w:after="90" w:line="293" w:lineRule="auto"/>
      </w:pPr>
      <w:r>
        <w:t>事前仮説は次の三点に絞る。(H1) 攻撃内容はResistant/Susceptibleの双方で早期にdecodeできる。(H2) 両群の差は内容表現の有無より、authority/adoptionとaction-argument commitmentの中後層で拡大する。(H3) action-open/param-open taskほど、その遷移が早く強い。</w:t>
      </w:r>
    </w:p>
    <w:p>
      <w:pPr>
        <w:pStyle w:val="Heading1"/>
      </w:pPr>
      <w:r>
        <w:t>9. 推奨する題目と新規性の書き方</w:t>
      </w:r>
    </w:p>
    <w:tbl>
      <w:tblPr>
        <w:tblW w:type="auto" w:w="0"/>
        <w:jc w:val="center"/>
        <w:tblLayout w:type="autofit"/>
        <w:tblLook w:firstColumn="1" w:firstRow="1" w:lastColumn="0" w:lastRow="0" w:noHBand="0" w:noVBand="1" w:val="04A0"/>
      </w:tblPr>
      <w:tblGrid>
        <w:gridCol w:w="10282"/>
      </w:tblGrid>
      <w:tr>
        <w:trPr>
          <w:tblHeader w:val="true"/>
        </w:trPr>
        <w:tc>
          <w:tcPr>
            <w:tcW w:type="dxa" w:w="10282"/>
            <w:shd w:fill="FFF4D8"/>
            <w:tcMar>
              <w:top w:w="130" w:type="dxa"/>
              <w:start w:w="180" w:type="dxa"/>
              <w:bottom w:w="130" w:type="dxa"/>
              <w:end w:w="180" w:type="dxa"/>
            </w:tcMar>
          </w:tcPr>
          <w:p>
            <w:pPr>
              <w:spacing w:after="60"/>
            </w:pPr>
            <w:r>
              <w:rPr>
                <w:b/>
                <w:color w:val="8A5B00"/>
                <w:sz w:val="21"/>
              </w:rPr>
              <w:t>推奨題目</w:t>
            </w:r>
          </w:p>
          <w:p>
            <w:pPr>
              <w:spacing w:after="0" w:line="288" w:lineRule="auto"/>
            </w:pPr>
            <w:r>
              <w:rPr>
                <w:sz w:val="18"/>
              </w:rPr>
              <w:t>和題：Indirect Prompt Injection下のLLMエージェントにおける目的内容・権限帰属・行動選好の表現遷移解析</w:t>
              <w:br/>
              <w:t>英題：Tracing Goal Content, Authority Attribution, and Action Commitment in LLM Agents under Indirect Prompt Injection</w:t>
            </w:r>
          </w:p>
        </w:tc>
      </w:tr>
    </w:tbl>
    <w:p>
      <w:pPr>
        <w:spacing w:after="0"/>
      </w:pPr>
    </w:p>
    <w:p>
      <w:pPr>
        <w:spacing w:after="90" w:line="293" w:lineRule="auto"/>
      </w:pPr>
      <w:r>
        <w:t>Takeover Pointの代わりに『行動コミットメント遷移領域（Commitment Transition Region; CTR）』を暫定用語とする。pointではなくregionとするのは、表現変化が複数layer/tokenへ分散し得て、単一座標への過度な局在化を避けるためである。</w:t>
      </w:r>
    </w:p>
    <w:p>
      <w:pPr>
        <w:spacing w:after="90" w:line="293" w:lineRule="auto"/>
      </w:pPr>
      <w:r>
        <w:t>新規性は次のように限定して記述するのが安全である：『既存研究はIPI露出、Task Drift、Role confusion、Attention増幅、black-boxの時間的因果局在化を個別に示してきた。本研究は、同一内容・異authorityのmatched controlと実行可能なtool-call counterfactualを用い、目的内容の表現、権限付与、具体的action/argument commitmentを区別して、tool-output内token進行とagent boundaryの双方で追跡する。』</w:t>
      </w:r>
    </w:p>
    <w:p>
      <w:pPr>
        <w:pStyle w:val="Heading1"/>
      </w:pPr>
      <w:r>
        <w:t>10. データ設計とタスク選択</w:t>
      </w:r>
    </w:p>
    <w:p>
      <w:pPr>
        <w:pStyle w:val="Heading2"/>
      </w:pPr>
      <w:r>
        <w:t>10.1 Underspecificationを事前層別化する</w:t>
      </w:r>
    </w:p>
    <w:p>
      <w:pPr>
        <w:spacing w:after="90" w:line="293" w:lineRule="auto"/>
      </w:pPr>
      <w:r>
        <w:t>AutoDojoは、ユーザーがaction自体を外部内容へ委ねるaction-open taskでASRが高く、fully specified / param-open / action-openという軸を提示する。外部データに従うことが本来の仕事である条件では、攻撃文への感応を単純なRole混同とみなせない。task opennessを必須共変量・層別要因にする。</w:t>
      </w:r>
      <w:r>
        <w:footnoteReference w:id="12"/>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1872"/>
            <w:shd w:fill="17324D"/>
            <w:vAlign w:val="center"/>
          </w:tcPr>
          <w:p>
            <w:pPr>
              <w:spacing w:after="0" w:line="269" w:lineRule="auto"/>
            </w:pPr>
            <w:r/>
            <w:r>
              <w:rPr>
                <w:rFonts w:ascii="Noto Sans JP Text" w:hAnsi="Noto Sans JP Text" w:eastAsia="Noto Sans JP Text"/>
                <w:b/>
                <w:color w:val="FFFFFF"/>
                <w:sz w:val="15"/>
              </w:rPr>
              <w:t>区分</w:t>
            </w:r>
          </w:p>
        </w:tc>
        <w:tc>
          <w:tcPr>
            <w:tcW w:type="dxa" w:w="4320"/>
            <w:shd w:fill="17324D"/>
            <w:vAlign w:val="center"/>
          </w:tcPr>
          <w:p>
            <w:pPr>
              <w:spacing w:after="0" w:line="269" w:lineRule="auto"/>
            </w:pPr>
            <w:r/>
            <w:r>
              <w:rPr>
                <w:rFonts w:ascii="Noto Sans JP Text" w:hAnsi="Noto Sans JP Text" w:eastAsia="Noto Sans JP Text"/>
                <w:b/>
                <w:color w:val="FFFFFF"/>
                <w:sz w:val="15"/>
              </w:rPr>
              <w:t>定義</w:t>
            </w:r>
          </w:p>
        </w:tc>
        <w:tc>
          <w:tcPr>
            <w:tcW w:type="dxa" w:w="4176"/>
            <w:shd w:fill="17324D"/>
            <w:vAlign w:val="center"/>
          </w:tcPr>
          <w:p>
            <w:pPr>
              <w:spacing w:after="0" w:line="269" w:lineRule="auto"/>
            </w:pPr>
            <w:r/>
            <w:r>
              <w:rPr>
                <w:rFonts w:ascii="Noto Sans JP Text" w:hAnsi="Noto Sans JP Text" w:eastAsia="Noto Sans JP Text"/>
                <w:b/>
                <w:color w:val="FFFFFF"/>
                <w:sz w:val="15"/>
              </w:rPr>
              <w:t>本研究での扱い</w:t>
            </w:r>
          </w:p>
        </w:tc>
      </w:tr>
      <w:tr>
        <w:tc>
          <w:tcPr>
            <w:tcW w:type="dxa" w:w="1872"/>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Fully specified</w:t>
            </w:r>
          </w:p>
        </w:tc>
        <w:tc>
          <w:tcPr>
            <w:tcW w:type="dxa" w:w="4320"/>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actionと主要argumentがuser promptで固定</w:t>
            </w:r>
          </w:p>
        </w:tc>
        <w:tc>
          <w:tcPr>
            <w:tcW w:type="dxa" w:w="4176"/>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最も解釈しやすい確認的解析</w:t>
            </w:r>
          </w:p>
        </w:tc>
      </w:tr>
      <w:tr>
        <w:tc>
          <w:tcPr>
            <w:tcW w:type="dxa" w:w="1872"/>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Param-open</w:t>
            </w:r>
          </w:p>
        </w:tc>
        <w:tc>
          <w:tcPr>
            <w:tcW w:type="dxa" w:w="4320"/>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actionは固定、argumentを外部データから取得</w:t>
            </w:r>
          </w:p>
        </w:tc>
        <w:tc>
          <w:tcPr>
            <w:tcW w:type="dxa" w:w="4176"/>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同一tool・異argument攻撃の中心</w:t>
            </w:r>
          </w:p>
        </w:tc>
      </w:tr>
      <w:tr>
        <w:tc>
          <w:tcPr>
            <w:tcW w:type="dxa" w:w="1872"/>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Action-open</w:t>
            </w:r>
          </w:p>
        </w:tc>
        <w:tc>
          <w:tcPr>
            <w:tcW w:type="dxa" w:w="4320"/>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実行action自体を外部内容に委任</w:t>
            </w:r>
          </w:p>
        </w:tc>
        <w:tc>
          <w:tcPr>
            <w:tcW w:type="dxa" w:w="4176"/>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曖昧性が大きいため副次／moderation解析</w:t>
            </w:r>
          </w:p>
        </w:tc>
      </w:tr>
    </w:tbl>
    <w:p>
      <w:pPr>
        <w:spacing w:after="0"/>
      </w:pPr>
    </w:p>
    <w:p>
      <w:pPr>
        <w:pStyle w:val="Heading2"/>
      </w:pPr>
      <w:r>
        <w:t>10.2 モデルとドメイン</w:t>
      </w:r>
    </w:p>
    <w:p>
      <w:pPr>
        <w:spacing w:after="90" w:line="293" w:lineRule="auto"/>
      </w:pPr>
      <w:r>
        <w:t>主モデルはQwen3-8Bを第一候補とする。8.2B・36層でtool callingに対応し、最新のIPI hidden-state研究でも使用されているため比較可能性が高い。再現性重視のgreedy条件では `enable_thinking=False` を明記する。公式model cardはthinking modeでgreedy decodingを避けるよう警告しているため、thinking modeを追加する場合は推奨samplingを用い、別解析にする。</w:t>
      </w:r>
      <w:r>
        <w:footnoteReference w:id="13"/>
      </w:r>
    </w:p>
    <w:p>
      <w:pPr>
        <w:spacing w:after="90" w:line="293" w:lineRule="auto"/>
      </w:pPr>
      <w:r>
        <w:t>主ドメインはBankingを推奨する。recipient/account/amountの引数置換を形式化しやすく、security checkが明確だからである。ただし、実装pilotでcanonical tool-call scoringが不安定ならWorkspaceへ切り替える。どちらの場合もmodel/tokenizer/AgentDojo revision、chat template、tool schema、dtypeを固定する。</w:t>
      </w:r>
    </w:p>
    <w:p>
      <w:pPr>
        <w:pStyle w:val="Heading1"/>
      </w:pPr>
      <w:r>
        <w:t>11. 標本設計と統計計画</w:t>
      </w:r>
    </w:p>
    <w:p>
      <w:pPr>
        <w:pStyle w:val="Heading2"/>
      </w:pPr>
      <w:r>
        <w:t>11.1 実行数ではなく独立cluster数を増やす</w:t>
      </w:r>
    </w:p>
    <w:p>
      <w:pPr>
        <w:spacing w:after="90" w:line="293" w:lineRule="auto"/>
      </w:pPr>
      <w:r>
        <w:t>20 task × 4 attack template × 10 paraphrase = 800実行であっても、独立な意味単位は20 taskと4 attack familyに近い。言い換え反復だけを増やすと信頼区間を不当に狭める。attack_goal_idとattack_style_idを分離し、少数の表面変種より多様なsemantic/style familyを優先する。</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2016"/>
            <w:shd w:fill="17324D"/>
            <w:vAlign w:val="center"/>
          </w:tcPr>
          <w:p>
            <w:pPr>
              <w:spacing w:after="0" w:line="269" w:lineRule="auto"/>
            </w:pPr>
            <w:r/>
            <w:r>
              <w:rPr>
                <w:rFonts w:ascii="Noto Sans JP Text" w:hAnsi="Noto Sans JP Text" w:eastAsia="Noto Sans JP Text"/>
                <w:b/>
                <w:color w:val="FFFFFF"/>
                <w:sz w:val="15"/>
              </w:rPr>
              <w:t>データ群</w:t>
            </w:r>
          </w:p>
        </w:tc>
        <w:tc>
          <w:tcPr>
            <w:tcW w:type="dxa" w:w="4320"/>
            <w:shd w:fill="17324D"/>
            <w:vAlign w:val="center"/>
          </w:tcPr>
          <w:p>
            <w:pPr>
              <w:spacing w:after="0" w:line="269" w:lineRule="auto"/>
            </w:pPr>
            <w:r/>
            <w:r>
              <w:rPr>
                <w:rFonts w:ascii="Noto Sans JP Text" w:hAnsi="Noto Sans JP Text" w:eastAsia="Noto Sans JP Text"/>
                <w:b/>
                <w:color w:val="FFFFFF"/>
                <w:sz w:val="15"/>
              </w:rPr>
              <w:t>目安</w:t>
            </w:r>
          </w:p>
        </w:tc>
        <w:tc>
          <w:tcPr>
            <w:tcW w:type="dxa" w:w="4032"/>
            <w:shd w:fill="17324D"/>
            <w:vAlign w:val="center"/>
          </w:tcPr>
          <w:p>
            <w:pPr>
              <w:spacing w:after="0" w:line="269" w:lineRule="auto"/>
            </w:pPr>
            <w:r/>
            <w:r>
              <w:rPr>
                <w:rFonts w:ascii="Noto Sans JP Text" w:hAnsi="Noto Sans JP Text" w:eastAsia="Noto Sans JP Text"/>
                <w:b/>
                <w:color w:val="FFFFFF"/>
                <w:sz w:val="15"/>
              </w:rPr>
              <w:t>目的</w:t>
            </w:r>
          </w:p>
        </w:tc>
      </w:tr>
      <w:tr>
        <w:tc>
          <w:tcPr>
            <w:tcW w:type="dxa" w:w="2016"/>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Probe教師・対照</w:t>
            </w:r>
          </w:p>
        </w:tc>
        <w:tc>
          <w:tcPr>
            <w:tcW w:type="dxa" w:w="4320"/>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400–600</w:t>
            </w:r>
          </w:p>
        </w:tc>
        <w:tc>
          <w:tcPr>
            <w:tcW w:type="dxa" w:w="4032"/>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action/argument/authority/status、matched text control</w:t>
            </w:r>
          </w:p>
        </w:tc>
      </w:tr>
      <w:tr>
        <w:tc>
          <w:tcPr>
            <w:tcW w:type="dxa" w:w="2016"/>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確認的IPI</w:t>
            </w:r>
          </w:p>
        </w:tc>
        <w:tc>
          <w:tcPr>
            <w:tcW w:type="dxa" w:w="4320"/>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12–16 task × 8–12 style/goal family × 4–6 surface variants</w:t>
            </w:r>
          </w:p>
        </w:tc>
        <w:tc>
          <w:tcPr>
            <w:tcW w:type="dxa" w:w="4032"/>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独立clusterを確保し、B1→action marginを検定</w:t>
            </w:r>
          </w:p>
        </w:tc>
      </w:tr>
      <w:tr>
        <w:tc>
          <w:tcPr>
            <w:tcW w:type="dxa" w:w="2016"/>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Clean / single-goal</w:t>
            </w:r>
          </w:p>
        </w:tc>
        <w:tc>
          <w:tcPr>
            <w:tcW w:type="dxa" w:w="4320"/>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100–160</w:t>
            </w:r>
          </w:p>
        </w:tc>
        <w:tc>
          <w:tcPr>
            <w:tcW w:type="dxa" w:w="4032"/>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utility、表現基準、破壊的介入の検出</w:t>
            </w:r>
          </w:p>
        </w:tc>
      </w:tr>
      <w:tr>
        <w:tc>
          <w:tcPr>
            <w:tcW w:type="dxa" w:w="2016"/>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Pilot</w:t>
            </w:r>
          </w:p>
        </w:tc>
        <w:tc>
          <w:tcPr>
            <w:tcW w:type="dxa" w:w="4320"/>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100–150（family単位で凍結）</w:t>
            </w:r>
          </w:p>
        </w:tc>
        <w:tc>
          <w:tcPr>
            <w:tcW w:type="dxa" w:w="4032"/>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ASR、容量、scorer、群分布。確認testから除外</w:t>
            </w:r>
          </w:p>
        </w:tc>
      </w:tr>
      <w:tr>
        <w:tc>
          <w:tcPr>
            <w:tcW w:type="dxa" w:w="2016"/>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Stochastic auxiliary</w:t>
            </w:r>
          </w:p>
        </w:tc>
        <w:tc>
          <w:tcPr>
            <w:tcW w:type="dxa" w:w="4320"/>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margin≈0と代表条件のみ各10回</w:t>
            </w:r>
          </w:p>
        </w:tc>
        <w:tc>
          <w:tcPr>
            <w:tcW w:type="dxa" w:w="4032"/>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ASR推定。full activationは保存しない</w:t>
            </w:r>
          </w:p>
        </w:tc>
      </w:tr>
    </w:tbl>
    <w:p>
      <w:pPr>
        <w:spacing w:after="0"/>
      </w:pPr>
    </w:p>
    <w:p>
      <w:pPr>
        <w:pStyle w:val="Heading2"/>
      </w:pPr>
      <w:r>
        <w:t>11.2 主解析を一つに固定する</w:t>
      </w:r>
    </w:p>
    <w:p>
      <w:pPr>
        <w:spacing w:after="90" w:line="293" w:lineRule="auto"/>
      </w:pPr>
      <w:r>
        <w:t>確認的主解析は、B1またはTendの事前指定した中間層領域におけるattacker argument-commitment readoutが、後続decision boundaryのfirst-discriminating-token marginを予測するか、とする。モデルは階層回帰とし、task、attack goal、attack styleにrandom intercept、十分なcluster数があれば主要効果のrandom slopeを置く。最高位cluster bootstrapで95%区間を確認する。</w:t>
      </w:r>
    </w:p>
    <w:p>
      <w:pPr>
        <w:pStyle w:val="ListBullet"/>
        <w:spacing w:after="50" w:line="278" w:lineRule="auto"/>
        <w:ind w:left="288" w:hanging="173"/>
      </w:pPr>
      <w:r>
        <w:t>固定効果：readout、authority readout、exposure baseline、task openness、token length、attack position。</w:t>
      </w:r>
    </w:p>
    <w:p>
      <w:pPr>
        <w:pStyle w:val="ListBullet"/>
        <w:spacing w:after="50" w:line="278" w:lineRule="auto"/>
        <w:ind w:left="288" w:hanging="173"/>
      </w:pPr>
      <w:r>
        <w:t>副次：B対Dのbinary outcome、Role readout、Attention aggregation、PCA可視化。</w:t>
      </w:r>
    </w:p>
    <w:p>
      <w:pPr>
        <w:pStyle w:val="ListBullet"/>
        <w:spacing w:after="50" w:line="278" w:lineRule="auto"/>
        <w:ind w:left="288" w:hanging="173"/>
      </w:pPr>
      <w:r>
        <w:t>多重比較：全layer×stageを主解析にせず、pilot/validationでregionを固定。探索的mapはFDR付きで明示。</w:t>
      </w:r>
    </w:p>
    <w:p>
      <w:pPr>
        <w:pStyle w:val="ListBullet"/>
        <w:spacing w:after="50" w:line="278" w:lineRule="auto"/>
        <w:ind w:left="288" w:hanging="173"/>
      </w:pPr>
      <w:r>
        <w:t>Power：総実行数ではなくtask/style cluster数とpilotのICCを使ってsimulation-based power analysisを行う。</w:t>
      </w:r>
    </w:p>
    <w:p>
      <w:pPr>
        <w:pStyle w:val="ListBullet"/>
        <w:spacing w:after="50" w:line="278" w:lineRule="auto"/>
        <w:ind w:left="288" w:hanging="173"/>
      </w:pPr>
      <w:r>
        <w:t>test set：attack selectionやthreshold調整に一度でも使ったfamilyは確認的testから除外する。</w:t>
      </w:r>
    </w:p>
    <w:p>
      <w:pPr>
        <w:pStyle w:val="Heading1"/>
      </w:pPr>
      <w:r>
        <w:t>12. Activation Patchingの位置付け</w:t>
      </w:r>
    </w:p>
    <w:p>
      <w:pPr>
        <w:spacing w:after="90" w:line="293" w:lineRule="auto"/>
      </w:pPr>
      <w:r>
        <w:t>Activation Patchingは、corruption方法や評価metricで結論が変わり得る。Zhang &amp; NandaはGaussian noiseよりin-distributionのsymmetric token replacement、probabilityよりlogit differenceを推奨する。 IterInjectでhidden-state patchingの効果が小さかったことも踏まえ、卒論の成立条件から外し、以下を満たす場合だけ実施する。</w:t>
      </w:r>
      <w:r>
        <w:footnoteReference w:id="14"/>
      </w:r>
    </w:p>
    <w:p>
      <w:pPr>
        <w:pStyle w:val="ListBullet"/>
        <w:spacing w:after="50" w:line="278" w:lineRule="auto"/>
        <w:ind w:left="288" w:hanging="173"/>
      </w:pPr>
      <w:r>
        <w:t>Resistant→SusceptibleとSusceptible→Resistantの双方向を行う。</w:t>
      </w:r>
    </w:p>
    <w:p>
      <w:pPr>
        <w:pStyle w:val="ListBullet"/>
        <w:spacing w:after="50" w:line="278" w:lineRule="auto"/>
        <w:ind w:left="288" w:hanging="173"/>
      </w:pPr>
      <w:r>
        <w:t>意味的に対応したin-distribution donorを用い、random donor・semantic mismatch・隣接layer/positionを対照にする。</w:t>
      </w:r>
    </w:p>
    <w:p>
      <w:pPr>
        <w:pStyle w:val="ListBullet"/>
        <w:spacing w:after="50" w:line="278" w:lineRule="auto"/>
        <w:ind w:left="288" w:hanging="173"/>
      </w:pPr>
      <w:r>
        <w:t>正規化回復率：(LDpatched − LDsusceptible) / (LDresistant − LDsusceptible) を報告する。</w:t>
      </w:r>
    </w:p>
    <w:p>
      <w:pPr>
        <w:pStyle w:val="ListBullet"/>
        <w:spacing w:after="50" w:line="278" w:lineRule="auto"/>
        <w:ind w:left="288" w:hanging="173"/>
      </w:pPr>
      <w:r>
        <w:t>target marginだけでなくclean action likelihood、出力分布KL、task utilityを測り、単なる表現破壊を除外する。</w:t>
      </w:r>
    </w:p>
    <w:p>
      <w:pPr>
        <w:pStyle w:val="ListBullet"/>
        <w:spacing w:after="50" w:line="278" w:lineRule="auto"/>
        <w:ind w:left="288" w:hanging="173"/>
      </w:pPr>
      <w:r>
        <w:t>層・token窓は独立validationで固定し、test pairでの探索をしない。</w:t>
      </w:r>
    </w:p>
    <w:p>
      <w:pPr>
        <w:pStyle w:val="Heading1"/>
      </w:pPr>
      <w:r>
        <w:t>13. Attention解析の位置付け</w:t>
      </w:r>
    </w:p>
    <w:p>
      <w:pPr>
        <w:spacing w:after="90" w:line="293" w:lineRule="auto"/>
      </w:pPr>
      <w:r>
        <w:t>Attention weightは因果説明と同義ではない。標準Attentionがgradient-based importanceと相関せず、異なるAttentionでも同じ予測が得られる例がある一方、適切な定義・対照・介入の下では診断に使えるという反論もある。したがって本研究では、attack spanへのAttention massを補助記述量とし、因果語を使うのはattention knockout等の介入を行った場合に限る。</w:t>
      </w:r>
      <w:r>
        <w:footnoteReference w:id="15"/>
      </w:r>
    </w:p>
    <w:p>
      <w:pPr>
        <w:spacing w:after="90" w:line="293" w:lineRule="auto"/>
      </w:pPr>
      <w:r>
        <w:t>保存は各decision tokenからattack span、user goal span、tool metadata spanへの集約量をonline計算する。全Attention matrixはpilotの少数例と候補layer/headだけに限定する。これにより長文脈での容量をResidual Stream解析へ振り向けられる。</w:t>
      </w:r>
    </w:p>
    <w:p>
      <w:pPr>
        <w:pStyle w:val="Heading1"/>
      </w:pPr>
      <w:r>
        <w:t>14. 実行ロードマップとGo/No-Go基準</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1440"/>
            <w:shd w:fill="17324D"/>
            <w:vAlign w:val="center"/>
          </w:tcPr>
          <w:p>
            <w:pPr>
              <w:spacing w:after="0" w:line="269" w:lineRule="auto"/>
            </w:pPr>
            <w:r/>
            <w:r>
              <w:rPr>
                <w:rFonts w:ascii="Noto Sans JP Text" w:hAnsi="Noto Sans JP Text" w:eastAsia="Noto Sans JP Text"/>
                <w:b/>
                <w:color w:val="FFFFFF"/>
                <w:sz w:val="15"/>
              </w:rPr>
              <w:t>段階</w:t>
            </w:r>
          </w:p>
        </w:tc>
        <w:tc>
          <w:tcPr>
            <w:tcW w:type="dxa" w:w="4896"/>
            <w:shd w:fill="17324D"/>
            <w:vAlign w:val="center"/>
          </w:tcPr>
          <w:p>
            <w:pPr>
              <w:spacing w:after="0" w:line="269" w:lineRule="auto"/>
            </w:pPr>
            <w:r/>
            <w:r>
              <w:rPr>
                <w:rFonts w:ascii="Noto Sans JP Text" w:hAnsi="Noto Sans JP Text" w:eastAsia="Noto Sans JP Text"/>
                <w:b/>
                <w:color w:val="FFFFFF"/>
                <w:sz w:val="15"/>
              </w:rPr>
              <w:t>作業</w:t>
            </w:r>
          </w:p>
        </w:tc>
        <w:tc>
          <w:tcPr>
            <w:tcW w:type="dxa" w:w="4032"/>
            <w:shd w:fill="17324D"/>
            <w:vAlign w:val="center"/>
          </w:tcPr>
          <w:p>
            <w:pPr>
              <w:spacing w:after="0" w:line="269" w:lineRule="auto"/>
            </w:pPr>
            <w:r/>
            <w:r>
              <w:rPr>
                <w:rFonts w:ascii="Noto Sans JP Text" w:hAnsi="Noto Sans JP Text" w:eastAsia="Noto Sans JP Text"/>
                <w:b/>
                <w:color w:val="FFFFFF"/>
                <w:sz w:val="15"/>
              </w:rPr>
              <w:t>次へ進む基準</w:t>
            </w:r>
          </w:p>
        </w:tc>
      </w:tr>
      <w:tr>
        <w:tc>
          <w:tcPr>
            <w:tcW w:type="dxa" w:w="1440"/>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0 再現</w:t>
            </w:r>
          </w:p>
        </w:tc>
        <w:tc>
          <w:tcPr>
            <w:tcW w:type="dxa" w:w="4896"/>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AgentDojo＋Qwen3-8B、exposure/task-drift probe、Role baseline</w:t>
            </w:r>
          </w:p>
        </w:tc>
        <w:tc>
          <w:tcPr>
            <w:tcW w:type="dxa" w:w="4032"/>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scorer一致率≥95%、clean utilityが実用域</w:t>
            </w:r>
          </w:p>
        </w:tc>
      </w:tr>
      <w:tr>
        <w:tc>
          <w:tcPr>
            <w:tcW w:type="dxa" w:w="1440"/>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1 測定設計</w:t>
            </w:r>
          </w:p>
        </w:tc>
        <w:tc>
          <w:tcPr>
            <w:tcW w:type="dxa" w:w="4896"/>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structured goalとsame-action/different-argument条件</w:t>
            </w:r>
          </w:p>
        </w:tc>
        <w:tc>
          <w:tcPr>
            <w:tcW w:type="dxa" w:w="4032"/>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canonical call scoringが安定、主要slotをtokenize可能</w:t>
            </w:r>
          </w:p>
        </w:tc>
      </w:tr>
      <w:tr>
        <w:tc>
          <w:tcPr>
            <w:tcW w:type="dxa" w:w="1440"/>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2 Probe</w:t>
            </w:r>
          </w:p>
        </w:tc>
        <w:tc>
          <w:tcPr>
            <w:tcW w:type="dxa" w:w="4896"/>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matched content/authority/status control</w:t>
            </w:r>
          </w:p>
        </w:tc>
        <w:tc>
          <w:tcPr>
            <w:tcW w:type="dxa" w:w="4032"/>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held-out familyでlexical baselineを有意に上回る</w:t>
            </w:r>
          </w:p>
        </w:tc>
      </w:tr>
      <w:tr>
        <w:tc>
          <w:tcPr>
            <w:tcW w:type="dxa" w:w="1440"/>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3 確認実験</w:t>
            </w:r>
          </w:p>
        </w:tc>
        <w:tc>
          <w:tcPr>
            <w:tcW w:type="dxa" w:w="4896"/>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凍結testでB1/Tend→後続marginの階層解析</w:t>
            </w:r>
          </w:p>
        </w:tc>
        <w:tc>
          <w:tcPr>
            <w:tcW w:type="dxa" w:w="4032"/>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効果量とCIを報告可能。陽性でなくても妥当な否定結果</w:t>
            </w:r>
          </w:p>
        </w:tc>
      </w:tr>
      <w:tr>
        <w:tc>
          <w:tcPr>
            <w:tcW w:type="dxa" w:w="1440"/>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4 発展</w:t>
            </w:r>
          </w:p>
        </w:tc>
        <w:tc>
          <w:tcPr>
            <w:tcW w:type="dxa" w:w="4896"/>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双方向patching／小規模別domain</w:t>
            </w:r>
          </w:p>
        </w:tc>
        <w:tc>
          <w:tcPr>
            <w:tcW w:type="dxa" w:w="4032"/>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十分なmatched pairと独立再現がある場合のみ</w:t>
            </w:r>
          </w:p>
        </w:tc>
      </w:tr>
    </w:tbl>
    <w:p>
      <w:pPr>
        <w:spacing w:after="0"/>
      </w:pPr>
    </w:p>
    <w:p>
      <w:pPr>
        <w:spacing w:after="90" w:line="293" w:lineRule="auto"/>
      </w:pPr>
      <w:r>
        <w:t>No-Go条件も事前に決める。例えば、(i) Probeが未知goal familyでlexical baselineを上回らない、(ii) fully specified/param-open条件でSusceptible例が不足、(iii) tool-call scorerがtemplate依存で再現しない、のいずれかなら『目的表現』という強い語を下げ、具体的tool-action representationまたはbehavioral temporal attributionへ主題を縮小する。</w:t>
      </w:r>
    </w:p>
    <w:p>
      <w:pPr>
        <w:pStyle w:val="Heading1"/>
      </w:pPr>
      <w:r>
        <w:t>15. 研究計画書・実験プロトコルへの具体的修正一覧</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1944"/>
            <w:shd w:fill="17324D"/>
            <w:vAlign w:val="center"/>
          </w:tcPr>
          <w:p>
            <w:pPr>
              <w:spacing w:after="0" w:line="269" w:lineRule="auto"/>
            </w:pPr>
            <w:r/>
            <w:r>
              <w:rPr>
                <w:rFonts w:ascii="Noto Sans JP Text" w:hAnsi="Noto Sans JP Text" w:eastAsia="Noto Sans JP Text"/>
                <w:b/>
                <w:color w:val="FFFFFF"/>
                <w:sz w:val="15"/>
              </w:rPr>
              <w:t>対象節</w:t>
            </w:r>
          </w:p>
        </w:tc>
        <w:tc>
          <w:tcPr>
            <w:tcW w:type="dxa" w:w="8424"/>
            <w:shd w:fill="17324D"/>
            <w:vAlign w:val="center"/>
          </w:tcPr>
          <w:p>
            <w:pPr>
              <w:spacing w:after="0" w:line="269" w:lineRule="auto"/>
            </w:pPr>
            <w:r/>
            <w:r>
              <w:rPr>
                <w:rFonts w:ascii="Noto Sans JP Text" w:hAnsi="Noto Sans JP Text" w:eastAsia="Noto Sans JP Text"/>
                <w:b/>
                <w:color w:val="FFFFFF"/>
                <w:sz w:val="15"/>
              </w:rPr>
              <w:t>置換・追記</w:t>
            </w:r>
          </w:p>
        </w:tc>
      </w:tr>
      <w:tr>
        <w:tc>
          <w:tcPr>
            <w:tcW w:type="dxa" w:w="1944"/>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題目・背景</w:t>
            </w:r>
          </w:p>
        </w:tc>
        <w:tc>
          <w:tcPr>
            <w:tcW w:type="dxa" w:w="8424"/>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Takeoverを削除し、content–authority–commitmentの分離を中心にする。AgentSentryと2026年8月のexposure研究を追記。</w:t>
            </w:r>
          </w:p>
        </w:tc>
      </w:tr>
      <w:tr>
        <w:tc>
          <w:tcPr>
            <w:tcW w:type="dxa" w:w="1944"/>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RQ</w:t>
            </w:r>
          </w:p>
        </w:tc>
        <w:tc>
          <w:tcPr>
            <w:tcW w:type="dxa" w:w="8424"/>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本報告8節の4問へ置換。RQ4は発展課題と明記。</w:t>
            </w:r>
          </w:p>
        </w:tc>
      </w:tr>
      <w:tr>
        <w:tc>
          <w:tcPr>
            <w:tcW w:type="dxa" w:w="1944"/>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群A–D</w:t>
            </w:r>
          </w:p>
        </w:tc>
        <w:tc>
          <w:tcPr>
            <w:tcW w:type="dxa" w:w="8424"/>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保持。ただし主解析は連続marginで、B/Dは外部妥当性の副次解析。baseline_failureも保持。</w:t>
            </w:r>
          </w:p>
        </w:tc>
      </w:tr>
      <w:tr>
        <w:tc>
          <w:tcPr>
            <w:tcW w:type="dxa" w:w="1944"/>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処理段階</w:t>
            </w:r>
          </w:p>
        </w:tc>
        <w:tc>
          <w:tcPr>
            <w:tcW w:type="dxa" w:w="8424"/>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5つの自然言語段階をB0/B1/B2+とTpre/Tpost/Tendへ置換し、prefix hashを保存。</w:t>
            </w:r>
          </w:p>
        </w:tc>
      </w:tr>
      <w:tr>
        <w:tc>
          <w:tcPr>
            <w:tcW w:type="dxa" w:w="1944"/>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Goal readout</w:t>
            </w:r>
          </w:p>
        </w:tc>
        <w:tc>
          <w:tcPr>
            <w:tcW w:type="dxa" w:w="8424"/>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goal-feature decodabilityへ改称し、action/argument/authority/statusを分ける。同カテゴリ除外を撤回。</w:t>
            </w:r>
          </w:p>
        </w:tc>
      </w:tr>
      <w:tr>
        <w:tc>
          <w:tcPr>
            <w:tcW w:type="dxa" w:w="1944"/>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主解析</w:t>
            </w:r>
          </w:p>
        </w:tc>
        <w:tc>
          <w:tcPr>
            <w:tcW w:type="dxa" w:w="8424"/>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最終同時点相関から、早期境界／中間層による後続argument margin予測へ変更。</w:t>
            </w:r>
          </w:p>
        </w:tc>
      </w:tr>
      <w:tr>
        <w:tc>
          <w:tcPr>
            <w:tcW w:type="dxa" w:w="1944"/>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ID schema</w:t>
            </w:r>
          </w:p>
        </w:tc>
        <w:tc>
          <w:tcPr>
            <w:tcW w:type="dxa" w:w="8424"/>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attack_goal_id、attack_style_id、argument_slot_id、task_openness、prefix_idを追加。</w:t>
            </w:r>
          </w:p>
        </w:tc>
      </w:tr>
      <w:tr>
        <w:tc>
          <w:tcPr>
            <w:tcW w:type="dxa" w:w="1944"/>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統計</w:t>
            </w:r>
          </w:p>
        </w:tc>
        <w:tc>
          <w:tcPr>
            <w:tcW w:type="dxa" w:w="8424"/>
            <w:shd w:fill="F3F5F6"/>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最高位cluster、ICC、simulation power、凍結test family、探索／確認の区別を追記。</w:t>
            </w:r>
          </w:p>
        </w:tc>
      </w:tr>
      <w:tr>
        <w:tc>
          <w:tcPr>
            <w:tcW w:type="dxa" w:w="1944"/>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Patching</w:t>
            </w:r>
          </w:p>
        </w:tc>
        <w:tc>
          <w:tcPr>
            <w:tcW w:type="dxa" w:w="8424"/>
            <w:shd w:fill="FFFFFF"/>
            <w:tcMar>
              <w:top w:w="80" w:type="dxa"/>
              <w:start w:w="100" w:type="dxa"/>
              <w:bottom w:w="80" w:type="dxa"/>
              <w:end w:w="100" w:type="dxa"/>
            </w:tcMar>
            <w:vAlign w:val="top"/>
          </w:tcPr>
          <w:p>
            <w:pPr>
              <w:spacing w:after="0" w:line="269" w:lineRule="auto"/>
            </w:pPr>
            <w:r/>
            <w:r>
              <w:rPr>
                <w:rFonts w:ascii="Noto Sans JP Text" w:hAnsi="Noto Sans JP Text" w:eastAsia="Noto Sans JP Text"/>
                <w:b w:val="0"/>
                <w:color w:val="17324D"/>
                <w:sz w:val="15"/>
              </w:rPr>
              <w:t>双方向、正規化回復率、distribution/utility guard、in-distribution controlを追加。</w:t>
            </w:r>
          </w:p>
        </w:tc>
      </w:tr>
    </w:tbl>
    <w:p>
      <w:pPr>
        <w:spacing w:after="0"/>
      </w:pPr>
    </w:p>
    <w:p>
      <w:pPr>
        <w:pStyle w:val="Heading1"/>
      </w:pPr>
      <w:r>
        <w:t>16. 最終評価</w:t>
      </w:r>
    </w:p>
    <w:tbl>
      <w:tblPr>
        <w:tblW w:type="auto" w:w="0"/>
        <w:jc w:val="center"/>
        <w:tblLayout w:type="autofit"/>
        <w:tblLook w:firstColumn="1" w:firstRow="1" w:lastColumn="0" w:lastRow="0" w:noHBand="0" w:noVBand="1" w:val="04A0"/>
      </w:tblPr>
      <w:tblGrid>
        <w:gridCol w:w="10282"/>
      </w:tblGrid>
      <w:tr>
        <w:trPr>
          <w:tblHeader w:val="true"/>
        </w:trPr>
        <w:tc>
          <w:tcPr>
            <w:tcW w:type="dxa" w:w="10282"/>
            <w:shd w:fill="E8F3F2"/>
            <w:tcMar>
              <w:top w:w="130" w:type="dxa"/>
              <w:start w:w="180" w:type="dxa"/>
              <w:bottom w:w="130" w:type="dxa"/>
              <w:end w:w="180" w:type="dxa"/>
            </w:tcMar>
          </w:tcPr>
          <w:p>
            <w:pPr>
              <w:spacing w:after="60"/>
            </w:pPr>
            <w:r>
              <w:rPr>
                <w:b/>
                <w:color w:val="0F6B6D"/>
                <w:sz w:val="21"/>
              </w:rPr>
              <w:t>総合評価</w:t>
            </w:r>
          </w:p>
          <w:p>
            <w:pPr>
              <w:spacing w:after="0" w:line="288" w:lineRule="auto"/>
            </w:pPr>
            <w:r>
              <w:rPr>
                <w:sz w:val="18"/>
              </w:rPr>
              <w:t>実行可能性：高い（単一8Bモデル・一ドメイン・段階的達成基準）。</w:t>
              <w:br/>
              <w:t>現状の新規性：中程度以下（近接する2026年研究との重複が大きい）。</w:t>
              <w:br/>
              <w:t>改訂後の新規性：中〜高（structured goal、authority、same-tool argument commitment、二重時間軸を一体化できれば明確）。</w:t>
              <w:br/>
              <w:t>最大の失敗要因：Probeが意味ではなく語彙・書式・最終logitを読み、独立cluster数が不足すること。</w:t>
              <w:br/>
              <w:t>推奨判断：題目とRQを先に改訂し、100–150実行pilotの前に測定妥当性テストを置いて継続する。</w:t>
            </w:r>
          </w:p>
        </w:tc>
      </w:tr>
    </w:tbl>
    <w:p>
      <w:pPr>
        <w:spacing w:after="0"/>
      </w:pPr>
    </w:p>
    <w:p>
      <w:pPr>
        <w:spacing w:after="90" w:line="293" w:lineRule="auto"/>
      </w:pPr>
      <w:r>
        <w:t>卒業研究としては、『万能な乗っ取り機構を発見する』より、『同じ攻撃内容が読めていても、権限付与と具体的引数へのコミットメントが分かれる条件を、厳密な対照と時間軸で示す』方が、実現可能性と新規性の均衡が良い。否定結果であっても、Probe妥当性とtask opennessを統制した上で効果が消えるなら、既存の内部状態研究の解釈限界を示す有意味な成果になる。</w:t>
      </w:r>
    </w:p>
    <w:p>
      <w:r>
        <w:br w:type="page"/>
      </w:r>
    </w:p>
    <w:p>
      <w:pPr>
        <w:pStyle w:val="Heading1"/>
      </w:pPr>
      <w:r>
        <w:t>Sources</w:t>
      </w:r>
    </w:p>
    <w:p>
      <w:pPr>
        <w:spacing w:after="90" w:line="293" w:lineRule="auto"/>
      </w:pPr>
      <w:r>
        <w:t>査読済み論文と2026年のarXiv preprintを区別して解釈した。特に2026年の結果は新しく、再現や査読前の主張を含むため、研究計画の先行研究節では『報告されている』と限定して記述する。</w:t>
      </w:r>
    </w:p>
    <w:p>
      <w:pPr>
        <w:spacing w:after="60" w:line="269" w:lineRule="auto"/>
        <w:ind w:left="360" w:hanging="360"/>
      </w:pPr>
      <w:r>
        <w:rPr>
          <w:sz w:val="16"/>
        </w:rPr>
        <w:t xml:space="preserve">[1] E. Debenedetti et al., </w:t>
      </w:r>
      <w:hyperlink r:id="rId11">
        <w:r>
          <w:rPr>
            <w:color w:val="0F6B6D"/>
            <w:u w:val="single"/>
            <w:rFonts w:ascii="Noto Sans JP Text" w:hAnsi="Noto Sans JP Text" w:eastAsia="Noto Sans JP Text"/>
          </w:rPr>
          <w:t>AgentDojo: A Dynamic Environment to Evaluate Prompt Injection Attacks and Defenses for LLM Agents</w:t>
        </w:r>
      </w:hyperlink>
      <w:r>
        <w:rPr>
          <w:sz w:val="16"/>
        </w:rPr>
        <w:t>, NeurIPS 2024 / arXiv:2406.13352.</w:t>
      </w:r>
    </w:p>
    <w:p>
      <w:pPr>
        <w:spacing w:after="60" w:line="269" w:lineRule="auto"/>
        <w:ind w:left="360" w:hanging="360"/>
      </w:pPr>
      <w:r>
        <w:rPr>
          <w:sz w:val="16"/>
        </w:rPr>
        <w:t xml:space="preserve">[2] S. Abdelnabi et al., </w:t>
      </w:r>
      <w:hyperlink r:id="rId12">
        <w:r>
          <w:rPr>
            <w:color w:val="0F6B6D"/>
            <w:u w:val="single"/>
            <w:rFonts w:ascii="Noto Sans JP Text" w:hAnsi="Noto Sans JP Text" w:eastAsia="Noto Sans JP Text"/>
          </w:rPr>
          <w:t>Are you still on track!? Catching LLM Task Drift with Activations</w:t>
        </w:r>
      </w:hyperlink>
      <w:r>
        <w:rPr>
          <w:sz w:val="16"/>
        </w:rPr>
        <w:t>, arXiv:2406.00799v3, 2024.</w:t>
      </w:r>
    </w:p>
    <w:p>
      <w:pPr>
        <w:spacing w:after="60" w:line="269" w:lineRule="auto"/>
        <w:ind w:left="360" w:hanging="360"/>
      </w:pPr>
      <w:r>
        <w:rPr>
          <w:sz w:val="16"/>
        </w:rPr>
        <w:t xml:space="preserve">[3] T. Wen et al.; W. Zou et al., </w:t>
      </w:r>
      <w:hyperlink r:id="rId13">
        <w:r>
          <w:rPr>
            <w:color w:val="0F6B6D"/>
            <w:u w:val="single"/>
            <w:rFonts w:ascii="Noto Sans JP Text" w:hAnsi="Noto Sans JP Text" w:eastAsia="Noto Sans JP Text"/>
          </w:rPr>
          <w:t>InstructDetector and PIShield</w:t>
        </w:r>
      </w:hyperlink>
      <w:r>
        <w:rPr>
          <w:sz w:val="16"/>
        </w:rPr>
        <w:t>, arXiv:2505.06311v2; arXiv:2510.14005v3.</w:t>
      </w:r>
    </w:p>
    <w:p>
      <w:pPr>
        <w:spacing w:after="60" w:line="269" w:lineRule="auto"/>
        <w:ind w:left="360" w:hanging="360"/>
      </w:pPr>
      <w:r>
        <w:rPr>
          <w:sz w:val="16"/>
        </w:rPr>
        <w:t xml:space="preserve">[4] J. Dong et al., </w:t>
      </w:r>
      <w:hyperlink r:id="rId14">
        <w:r>
          <w:rPr>
            <w:color w:val="0F6B6D"/>
            <w:u w:val="single"/>
            <w:rFonts w:ascii="Noto Sans JP Text" w:hAnsi="Noto Sans JP Text" w:eastAsia="Noto Sans JP Text"/>
          </w:rPr>
          <w:t>Your Agentic LLMs Secretly Encode Indirect Prompt-Injection Exposure in Hidden States</w:t>
        </w:r>
      </w:hyperlink>
      <w:r>
        <w:rPr>
          <w:sz w:val="16"/>
        </w:rPr>
        <w:t>, arXiv:2608.02657v2, 2026.</w:t>
      </w:r>
    </w:p>
    <w:p>
      <w:pPr>
        <w:spacing w:after="60" w:line="269" w:lineRule="auto"/>
        <w:ind w:left="360" w:hanging="360"/>
      </w:pPr>
      <w:r>
        <w:rPr>
          <w:sz w:val="16"/>
        </w:rPr>
        <w:t xml:space="preserve">[5] C. Ye, J. Cui, D. Hadfield-Menell, </w:t>
      </w:r>
      <w:hyperlink r:id="rId15">
        <w:r>
          <w:rPr>
            <w:color w:val="0F6B6D"/>
            <w:u w:val="single"/>
            <w:rFonts w:ascii="Noto Sans JP Text" w:hAnsi="Noto Sans JP Text" w:eastAsia="Noto Sans JP Text"/>
          </w:rPr>
          <w:t>Prompt Injection as Role Confusion</w:t>
        </w:r>
      </w:hyperlink>
      <w:r>
        <w:rPr>
          <w:sz w:val="16"/>
        </w:rPr>
        <w:t>, arXiv:2603.12277v6, 2026.</w:t>
      </w:r>
    </w:p>
    <w:p>
      <w:pPr>
        <w:spacing w:after="60" w:line="269" w:lineRule="auto"/>
        <w:ind w:left="360" w:hanging="360"/>
      </w:pPr>
      <w:r>
        <w:rPr>
          <w:sz w:val="16"/>
        </w:rPr>
        <w:t xml:space="preserve">[6] Z. Chen et al., </w:t>
      </w:r>
      <w:hyperlink r:id="rId16">
        <w:r>
          <w:rPr>
            <w:color w:val="0F6B6D"/>
            <w:u w:val="single"/>
            <w:rFonts w:ascii="Noto Sans JP Text" w:hAnsi="Noto Sans JP Text" w:eastAsia="Noto Sans JP Text"/>
          </w:rPr>
          <w:t>IterInject: Indirect Prompt Injection Against LLM Agents via Feedback-Guided Iterative Optimization</w:t>
        </w:r>
      </w:hyperlink>
      <w:r>
        <w:rPr>
          <w:sz w:val="16"/>
        </w:rPr>
        <w:t>, arXiv:2605.24659v1, 2026.</w:t>
      </w:r>
    </w:p>
    <w:p>
      <w:pPr>
        <w:spacing w:after="60" w:line="269" w:lineRule="auto"/>
        <w:ind w:left="360" w:hanging="360"/>
      </w:pPr>
      <w:r>
        <w:rPr>
          <w:sz w:val="16"/>
        </w:rPr>
        <w:t xml:space="preserve">[7] T. Zhang et al., </w:t>
      </w:r>
      <w:hyperlink r:id="rId17">
        <w:r>
          <w:rPr>
            <w:color w:val="0F6B6D"/>
            <w:u w:val="single"/>
            <w:rFonts w:ascii="Noto Sans JP Text" w:hAnsi="Noto Sans JP Text" w:eastAsia="Noto Sans JP Text"/>
          </w:rPr>
          <w:t>AgentSentry: Mitigating Indirect Prompt Injection in LLM Agents via Temporal Causal Diagnostics and Context Purification</w:t>
        </w:r>
      </w:hyperlink>
      <w:r>
        <w:rPr>
          <w:sz w:val="16"/>
        </w:rPr>
        <w:t>, arXiv:2602.22724v1, 2026.</w:t>
      </w:r>
    </w:p>
    <w:p>
      <w:pPr>
        <w:spacing w:after="60" w:line="269" w:lineRule="auto"/>
        <w:ind w:left="360" w:hanging="360"/>
      </w:pPr>
      <w:r>
        <w:rPr>
          <w:sz w:val="16"/>
        </w:rPr>
        <w:t xml:space="preserve">[8] J. Zhang et al., </w:t>
      </w:r>
      <w:hyperlink r:id="rId18">
        <w:r>
          <w:rPr>
            <w:color w:val="0F6B6D"/>
            <w:u w:val="single"/>
            <w:rFonts w:ascii="Noto Sans JP Text" w:hAnsi="Noto Sans JP Text" w:eastAsia="Noto Sans JP Text"/>
          </w:rPr>
          <w:t>Many-Tier Instruction Hierarchy in LLM Agents</w:t>
        </w:r>
      </w:hyperlink>
      <w:r>
        <w:rPr>
          <w:sz w:val="16"/>
        </w:rPr>
        <w:t>, arXiv:2604.09443v4, 2026.</w:t>
      </w:r>
    </w:p>
    <w:p>
      <w:pPr>
        <w:spacing w:after="60" w:line="269" w:lineRule="auto"/>
        <w:ind w:left="360" w:hanging="360"/>
      </w:pPr>
      <w:r>
        <w:rPr>
          <w:sz w:val="16"/>
        </w:rPr>
        <w:t xml:space="preserve">[9] The Why Behind the Action authors, </w:t>
      </w:r>
      <w:hyperlink r:id="rId19">
        <w:r>
          <w:rPr>
            <w:color w:val="0F6B6D"/>
            <w:u w:val="single"/>
            <w:rFonts w:ascii="Noto Sans JP Text" w:hAnsi="Noto Sans JP Text" w:eastAsia="Noto Sans JP Text"/>
          </w:rPr>
          <w:t>The Why Behind the Action: Unveiling Internal Drivers via Agentic Attribution</w:t>
        </w:r>
      </w:hyperlink>
      <w:r>
        <w:rPr>
          <w:sz w:val="16"/>
        </w:rPr>
        <w:t>, arXiv:2601.15075v2, 2026.</w:t>
      </w:r>
    </w:p>
    <w:p>
      <w:pPr>
        <w:spacing w:after="60" w:line="269" w:lineRule="auto"/>
        <w:ind w:left="360" w:hanging="360"/>
      </w:pPr>
      <w:r>
        <w:rPr>
          <w:sz w:val="16"/>
        </w:rPr>
        <w:t xml:space="preserve">[10] J. Hewitt and P. Liang, </w:t>
      </w:r>
      <w:hyperlink r:id="rId20">
        <w:r>
          <w:rPr>
            <w:color w:val="0F6B6D"/>
            <w:u w:val="single"/>
            <w:rFonts w:ascii="Noto Sans JP Text" w:hAnsi="Noto Sans JP Text" w:eastAsia="Noto Sans JP Text"/>
          </w:rPr>
          <w:t>Designing and Interpreting Probes with Control Tasks</w:t>
        </w:r>
      </w:hyperlink>
      <w:r>
        <w:rPr>
          <w:sz w:val="16"/>
        </w:rPr>
        <w:t>, EMNLP-IJCNLP 2019.</w:t>
      </w:r>
    </w:p>
    <w:p>
      <w:pPr>
        <w:spacing w:after="60" w:line="269" w:lineRule="auto"/>
        <w:ind w:left="360" w:hanging="360"/>
      </w:pPr>
      <w:r>
        <w:rPr>
          <w:sz w:val="16"/>
        </w:rPr>
        <w:t xml:space="preserve">[11] Do LLMs know internally authors, </w:t>
      </w:r>
      <w:hyperlink r:id="rId21">
        <w:r>
          <w:rPr>
            <w:color w:val="0F6B6D"/>
            <w:u w:val="single"/>
            <w:rFonts w:ascii="Noto Sans JP Text" w:hAnsi="Noto Sans JP Text" w:eastAsia="Noto Sans JP Text"/>
          </w:rPr>
          <w:t>Do LLMs ‘know’ internally when they follow instructions?</w:t>
        </w:r>
      </w:hyperlink>
      <w:r>
        <w:rPr>
          <w:sz w:val="16"/>
        </w:rPr>
        <w:t>, arXiv:2410.14516v5.</w:t>
      </w:r>
    </w:p>
    <w:p>
      <w:pPr>
        <w:spacing w:after="60" w:line="269" w:lineRule="auto"/>
        <w:ind w:left="360" w:hanging="360"/>
      </w:pPr>
      <w:r>
        <w:rPr>
          <w:sz w:val="16"/>
        </w:rPr>
        <w:t xml:space="preserve">[12] X. Ma et al., </w:t>
      </w:r>
      <w:hyperlink r:id="rId22">
        <w:r>
          <w:rPr>
            <w:color w:val="0F6B6D"/>
            <w:u w:val="single"/>
            <w:rFonts w:ascii="Noto Sans JP Text" w:hAnsi="Noto Sans JP Text" w:eastAsia="Noto Sans JP Text"/>
          </w:rPr>
          <w:t>AutoDojo: Adaptive Attacks Expose Superficial Defenses and User-Underspecification Limits in LLM Agents</w:t>
        </w:r>
      </w:hyperlink>
      <w:r>
        <w:rPr>
          <w:sz w:val="16"/>
        </w:rPr>
        <w:t>, arXiv:2606.15057v1, 2026.</w:t>
      </w:r>
    </w:p>
    <w:p>
      <w:pPr>
        <w:spacing w:after="60" w:line="269" w:lineRule="auto"/>
        <w:ind w:left="360" w:hanging="360"/>
      </w:pPr>
      <w:r>
        <w:rPr>
          <w:sz w:val="16"/>
        </w:rPr>
        <w:t xml:space="preserve">[13] Qwen Team, </w:t>
      </w:r>
      <w:hyperlink r:id="rId23">
        <w:r>
          <w:rPr>
            <w:color w:val="0F6B6D"/>
            <w:u w:val="single"/>
            <w:rFonts w:ascii="Noto Sans JP Text" w:hAnsi="Noto Sans JP Text" w:eastAsia="Noto Sans JP Text"/>
          </w:rPr>
          <w:t>Qwen3-8B Model Card</w:t>
        </w:r>
      </w:hyperlink>
      <w:r>
        <w:rPr>
          <w:sz w:val="16"/>
        </w:rPr>
        <w:t>, Hugging Face, accessed 2026-09-09.</w:t>
      </w:r>
    </w:p>
    <w:p>
      <w:pPr>
        <w:spacing w:after="60" w:line="269" w:lineRule="auto"/>
        <w:ind w:left="360" w:hanging="360"/>
      </w:pPr>
      <w:r>
        <w:rPr>
          <w:sz w:val="16"/>
        </w:rPr>
        <w:t xml:space="preserve">[14] F. Zhang and N. Nanda, </w:t>
      </w:r>
      <w:hyperlink r:id="rId24">
        <w:r>
          <w:rPr>
            <w:color w:val="0F6B6D"/>
            <w:u w:val="single"/>
            <w:rFonts w:ascii="Noto Sans JP Text" w:hAnsi="Noto Sans JP Text" w:eastAsia="Noto Sans JP Text"/>
          </w:rPr>
          <w:t>Towards Best Practices of Activation Patching in Language Models: Metrics and Methods</w:t>
        </w:r>
      </w:hyperlink>
      <w:r>
        <w:rPr>
          <w:sz w:val="16"/>
        </w:rPr>
        <w:t>, ICLR 2024 / arXiv:2309.16042.</w:t>
      </w:r>
    </w:p>
    <w:p>
      <w:pPr>
        <w:spacing w:after="60" w:line="269" w:lineRule="auto"/>
        <w:ind w:left="360" w:hanging="360"/>
      </w:pPr>
      <w:r>
        <w:rPr>
          <w:sz w:val="16"/>
        </w:rPr>
        <w:t xml:space="preserve">[15] S. Jain and B. C. Wallace, </w:t>
      </w:r>
      <w:hyperlink r:id="rId25">
        <w:r>
          <w:rPr>
            <w:color w:val="0F6B6D"/>
            <w:u w:val="single"/>
            <w:rFonts w:ascii="Noto Sans JP Text" w:hAnsi="Noto Sans JP Text" w:eastAsia="Noto Sans JP Text"/>
          </w:rPr>
          <w:t>Attention is not Explanation</w:t>
        </w:r>
      </w:hyperlink>
      <w:r>
        <w:rPr>
          <w:sz w:val="16"/>
        </w:rPr>
        <w:t>, NAACL 2019.</w:t>
      </w:r>
    </w:p>
    <w:p>
      <w:pPr>
        <w:spacing w:after="60" w:line="269" w:lineRule="auto"/>
        <w:ind w:left="360" w:hanging="360"/>
      </w:pPr>
      <w:r>
        <w:rPr>
          <w:sz w:val="16"/>
        </w:rPr>
        <w:t xml:space="preserve">[16] W. Luo et al., </w:t>
      </w:r>
      <w:hyperlink r:id="rId26">
        <w:r>
          <w:rPr>
            <w:color w:val="0F6B6D"/>
            <w:u w:val="single"/>
            <w:rFonts w:ascii="Noto Sans JP Text" w:hAnsi="Noto Sans JP Text" w:eastAsia="Noto Sans JP Text"/>
          </w:rPr>
          <w:t>AgentLens: Interpretable Safety Steering via Mechanistic Subspaces for Multi-Turn Coding Agent</w:t>
        </w:r>
      </w:hyperlink>
      <w:r>
        <w:rPr>
          <w:sz w:val="16"/>
        </w:rPr>
        <w:t>, arXiv:2606.22673v1, 2026.</w:t>
      </w:r>
    </w:p>
    <w:p>
      <w:pPr>
        <w:pStyle w:val="Heading2"/>
      </w:pPr>
      <w:r>
        <w:t>調査上の注意</w:t>
      </w:r>
    </w:p>
    <w:p>
      <w:pPr>
        <w:pStyle w:val="ListBullet"/>
        <w:spacing w:after="50" w:line="278" w:lineRule="auto"/>
        <w:ind w:left="288" w:hanging="173"/>
      </w:pPr>
      <w:r>
        <w:t>『調査した文献の範囲では』という限定を付け、完全な先行研究不存在を断言しない。</w:t>
      </w:r>
    </w:p>
    <w:p>
      <w:pPr>
        <w:pStyle w:val="ListBullet"/>
        <w:spacing w:after="50" w:line="278" w:lineRule="auto"/>
        <w:ind w:left="288" w:hanging="173"/>
      </w:pPr>
      <w:r>
        <w:t>2026年preprintは更新が速いため、卒論提出前に同題目・同arXiv IDの最新版と査読状況を再確認する。</w:t>
      </w:r>
    </w:p>
    <w:p>
      <w:pPr>
        <w:pStyle w:val="ListBullet"/>
        <w:spacing w:after="50" w:line="278" w:lineRule="auto"/>
        <w:ind w:left="288" w:hanging="173"/>
      </w:pPr>
      <w:r>
        <w:t>AgentSentryの0% ASRなど強い数値は著者報告であり、独立再現済みとは扱わない。</w:t>
      </w:r>
    </w:p>
    <w:p>
      <w:pPr>
        <w:pStyle w:val="ListBullet"/>
        <w:spacing w:after="50" w:line="278" w:lineRule="auto"/>
        <w:ind w:left="288" w:hanging="173"/>
      </w:pPr>
      <w:r>
        <w:t>本報告は研究計画の科学的妥当性を評価するもので、実験結果を先取りするものではない。</w:t>
      </w:r>
    </w:p>
    <w:sectPr w:rsidR="00FC693F" w:rsidRPr="0006063C" w:rsidSect="00034616">
      <w:headerReference w:type="default" r:id="rId9"/>
      <w:footerReference w:type="default" r:id="rId10"/>
      <w:pgSz w:w="12240" w:h="15840"/>
      <w:pgMar w:top="922" w:right="979" w:bottom="893" w:left="979"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JP Text" w:hAnsi="Noto Sans JP Text"/>
        <w:color w:val="8B969E"/>
        <w:sz w:val="16"/>
      </w:rPr>
      <w:t xml:space="preserve">—  </w:t>
    </w:r>
    <w:r>
      <w:rPr>
        <w:rFonts w:ascii="Noto Sans JP Text" w:hAnsi="Noto Sans JP Text"/>
        <w:color w:val="8B969E"/>
        <w:sz w:val="16"/>
      </w:rPr>
      <w:fldChar w:fldCharType="begin"/>
      <w:instrText xml:space="preserve"> PAGE </w:instrText>
      <w:fldChar w:fldCharType="end"/>
    </w:r>
    <w:r>
      <w:rPr>
        <w:rFonts w:ascii="Noto Sans JP Text" w:hAnsi="Noto Sans JP Text"/>
        <w:color w:val="8B969E"/>
        <w:sz w:val="16"/>
      </w:rPr>
      <w:t xml:space="preserve">  —</w:t>
    </w:r>
  </w:p>
</w:ftr>
</file>

<file path=word/footnotes.xml><?xml version="1.0" encoding="utf-8"?>
<w:footnotes xmlns:w="http://schemas.openxmlformats.org/wordprocessingml/2006/main" xmlns:r="http://schemas.openxmlformats.org/officeDocument/2006/relationships">
  <w:footnote w:id="1">
    <w:p>
      <w:r>
        <w:footnoteRef/>
      </w:r>
      <w:r>
        <w:t> AgentDojo（Debenedetti et al., 2024）。</w:t>
      </w:r>
    </w:p>
  </w:footnote>
  <w:footnote w:id="2">
    <w:p>
      <w:r>
        <w:footnoteRef/>
      </w:r>
      <w:r>
        <w:t> TaskTracker（Abdelnabi et al., 2024）。</w:t>
      </w:r>
    </w:p>
  </w:footnote>
  <w:footnote w:id="3">
    <w:p>
      <w:r>
        <w:footnoteRef/>
      </w:r>
      <w:r>
        <w:t> InstructDetector（Wen et al., 2025）；PIShield（Zou et al., 2025）。</w:t>
      </w:r>
    </w:p>
  </w:footnote>
  <w:footnote w:id="4">
    <w:p>
      <w:r>
        <w:footnoteRef/>
      </w:r>
      <w:r>
        <w:t> IPI Exposure in Hidden States（Dong et al., 2026）。</w:t>
      </w:r>
    </w:p>
  </w:footnote>
  <w:footnote w:id="5">
    <w:p>
      <w:r>
        <w:footnoteRef/>
      </w:r>
      <w:r>
        <w:t> Prompt Injection as Role Confusion（Ye et al., 2026）。</w:t>
      </w:r>
    </w:p>
  </w:footnote>
  <w:footnote w:id="6">
    <w:p>
      <w:r>
        <w:footnoteRef/>
      </w:r>
      <w:r>
        <w:t> IterInject（Chen et al., 2026）。</w:t>
      </w:r>
    </w:p>
  </w:footnote>
  <w:footnote w:id="7">
    <w:p>
      <w:r>
        <w:footnoteRef/>
      </w:r>
      <w:r>
        <w:t> AgentSentry（Zhang et al., 2026）。</w:t>
      </w:r>
    </w:p>
  </w:footnote>
  <w:footnote w:id="8">
    <w:p>
      <w:r>
        <w:footnoteRef/>
      </w:r>
      <w:r>
        <w:t> Many-Tier Instruction Hierarchy（Zhang et al., 2026）。</w:t>
      </w:r>
    </w:p>
  </w:footnote>
  <w:footnote w:id="9">
    <w:p>
      <w:r>
        <w:footnoteRef/>
      </w:r>
      <w:r>
        <w:t> Agentic Attribution（2026）。</w:t>
      </w:r>
    </w:p>
  </w:footnote>
  <w:footnote w:id="10">
    <w:p>
      <w:r>
        <w:footnoteRef/>
      </w:r>
      <w:r>
        <w:t> Designing and Interpreting Probes with Control Tasks（Hewitt &amp; Liang, 2019）。</w:t>
      </w:r>
    </w:p>
  </w:footnote>
  <w:footnote w:id="11">
    <w:p>
      <w:r>
        <w:footnoteRef/>
      </w:r>
      <w:r>
        <w:t> Do LLMs know internally when they follow instructions?（2024）。</w:t>
      </w:r>
    </w:p>
  </w:footnote>
  <w:footnote w:id="12">
    <w:p>
      <w:r>
        <w:footnoteRef/>
      </w:r>
      <w:r>
        <w:t> AutoDojo（Ma et al., 2026）。</w:t>
      </w:r>
    </w:p>
  </w:footnote>
  <w:footnote w:id="13">
    <w:p>
      <w:r>
        <w:footnoteRef/>
      </w:r>
      <w:r>
        <w:t> Qwen3-8B Model Card（Qwen Team, 2025/2026年参照）。</w:t>
      </w:r>
    </w:p>
  </w:footnote>
  <w:footnote w:id="14">
    <w:p>
      <w:r>
        <w:footnoteRef/>
      </w:r>
      <w:r>
        <w:t> Activation Patching Best Practices（Zhang &amp; Nanda, 2024）。</w:t>
      </w:r>
    </w:p>
  </w:footnote>
  <w:footnote w:id="15">
    <w:p>
      <w:r>
        <w:footnoteRef/>
      </w:r>
      <w:r>
        <w:t> Attention is not Explanation（Jain &amp; Wallace, 2019）。</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9E2E8"/>
      </w:pBdr>
    </w:pPr>
    <w:r>
      <w:rPr>
        <w:rFonts w:ascii="Noto Sans JP Text" w:hAnsi="Noto Sans JP Text" w:eastAsia="Noto Sans JP Text"/>
        <w:color w:val="7B8791"/>
        <w:sz w:val="15"/>
      </w:rPr>
      <w:t>卒業研究計画｜関連研究調査と改訂提言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after="80"/>
    </w:pPr>
    <w:rPr>
      <w:rFonts w:ascii="Noto Sans JP Text" w:hAnsi="Noto Sans JP Text" w:eastAsia="Noto Sans JP Text"/>
      <w:color w:val="2637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Noto Sans JP Text" w:hAnsi="Noto Sans JP Text" w:eastAsia="Noto Sans JP Text"/>
      <w:b/>
      <w:bCs/>
      <w:color w:val="17324D"/>
      <w:sz w:val="29"/>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JP Text" w:hAnsi="Noto Sans JP Text" w:eastAsia="Noto Sans JP Text"/>
      <w:b/>
      <w:bCs/>
      <w:color w:val="0F6B6D"/>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Noto Sans JP Text" w:hAnsi="Noto Sans JP Text" w:eastAsia="Noto Sans JP Text"/>
      <w:b/>
      <w:bCs/>
      <w:color w:val="5D687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60" w:line="240" w:lineRule="auto"/>
      <w:contextualSpacing/>
    </w:pPr>
    <w:rPr>
      <w:rFonts w:asciiTheme="majorHAnsi" w:eastAsiaTheme="majorEastAsia" w:hAnsiTheme="majorHAnsi" w:cstheme="majorBidi" w:ascii="Noto Sans JP Text" w:hAnsi="Noto Sans JP Text" w:eastAsia="Noto Sans JP Text"/>
      <w:b/>
      <w:color w:val="17324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JP Text" w:hAnsi="Noto Sans JP Text" w:eastAsia="Noto Sans JP Text"/>
    </w:rPr>
  </w:style>
  <w:style w:type="paragraph" w:styleId="ListBullet2">
    <w:name w:val="List Bullet 2"/>
    <w:basedOn w:val="Normal"/>
    <w:uiPriority w:val="99"/>
    <w:unhideWhenUsed/>
    <w:rsid w:val="00326F90"/>
    <w:pPr>
      <w:numPr>
        <w:numId w:val="2"/>
      </w:numPr>
      <w:contextualSpacing/>
    </w:pPr>
    <w:rPr>
      <w:rFonts w:ascii="Noto Sans JP Text" w:hAnsi="Noto Sans JP Text" w:eastAsia="Noto Sans JP Text"/>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JP Text" w:hAnsi="Noto Sans JP Text" w:eastAsia="Noto Sans JP Text"/>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html/2406.13352" TargetMode="External"/><Relationship Id="rId12" Type="http://schemas.openxmlformats.org/officeDocument/2006/relationships/hyperlink" Target="https://arxiv.org/html/2406.00799v3" TargetMode="External"/><Relationship Id="rId13" Type="http://schemas.openxmlformats.org/officeDocument/2006/relationships/hyperlink" Target="https://arxiv.org/html/2505.06311v2" TargetMode="External"/><Relationship Id="rId14" Type="http://schemas.openxmlformats.org/officeDocument/2006/relationships/hyperlink" Target="https://arxiv.org/html/2608.02657" TargetMode="External"/><Relationship Id="rId15" Type="http://schemas.openxmlformats.org/officeDocument/2006/relationships/hyperlink" Target="https://arxiv.org/html/2603.12277v6" TargetMode="External"/><Relationship Id="rId16" Type="http://schemas.openxmlformats.org/officeDocument/2006/relationships/hyperlink" Target="https://arxiv.org/html/2605.24659v1" TargetMode="External"/><Relationship Id="rId17" Type="http://schemas.openxmlformats.org/officeDocument/2006/relationships/hyperlink" Target="https://arxiv.org/html/2602.22724" TargetMode="External"/><Relationship Id="rId18" Type="http://schemas.openxmlformats.org/officeDocument/2006/relationships/hyperlink" Target="https://arxiv.org/html/2604.09443" TargetMode="External"/><Relationship Id="rId19" Type="http://schemas.openxmlformats.org/officeDocument/2006/relationships/hyperlink" Target="https://arxiv.org/html/2601.15075v2" TargetMode="External"/><Relationship Id="rId20" Type="http://schemas.openxmlformats.org/officeDocument/2006/relationships/hyperlink" Target="https://aclanthology.org/D19-1275/" TargetMode="External"/><Relationship Id="rId21" Type="http://schemas.openxmlformats.org/officeDocument/2006/relationships/hyperlink" Target="https://arxiv.org/html/2410.14516v5" TargetMode="External"/><Relationship Id="rId22" Type="http://schemas.openxmlformats.org/officeDocument/2006/relationships/hyperlink" Target="https://arxiv.org/html/2606.15057v1" TargetMode="External"/><Relationship Id="rId23" Type="http://schemas.openxmlformats.org/officeDocument/2006/relationships/hyperlink" Target="https://huggingface.co/Qwen/Qwen3-8B" TargetMode="External"/><Relationship Id="rId24" Type="http://schemas.openxmlformats.org/officeDocument/2006/relationships/hyperlink" Target="https://arxiv.org/html/2309.16042" TargetMode="External"/><Relationship Id="rId25" Type="http://schemas.openxmlformats.org/officeDocument/2006/relationships/hyperlink" Target="https://aclanthology.org/N19-1357/" TargetMode="External"/><Relationship Id="rId26" Type="http://schemas.openxmlformats.org/officeDocument/2006/relationships/hyperlink" Target="https://arxiv.org/html/2606.22673" TargetMode="External"/><Relationship Id="rId27"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卒業研究計画の関連研究調査と改訂提言</dc:title>
  <dc:subject>Indirect Prompt Injection、LLMエージェント内部表現、研究計画レビュー</dc:subject>
  <dc:creator>OpenAI</dc:creator>
  <cp:keywords>Indirect Prompt Injection, AgentDojo, probing, activation patching, LLM agents</cp:keywords>
  <dc:description>generated by python-docx</dc:description>
  <cp:lastModifiedBy/>
  <cp:revision>1</cp:revision>
  <dcterms:created xsi:type="dcterms:W3CDTF">2013-12-23T23:15:00Z</dcterms:created>
  <dcterms:modified xsi:type="dcterms:W3CDTF">2013-12-23T23:15:00Z</dcterms:modified>
  <cp:category/>
</cp:coreProperties>
</file>