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 Display" w:hAnsi="Aptos Display"/>
          <w:b/>
          <w:i w:val="0"/>
          <w:color w:val="000000"/>
          <w:sz w:val="42"/>
        </w:rPr>
        <w:t>Modelo de identificação e construção de índices</w:t>
      </w:r>
    </w:p>
    <w:p>
      <w:pPr>
        <w:spacing w:after="240"/>
      </w:pPr>
      <w:r>
        <w:rPr>
          <w:rFonts w:ascii="Aptos" w:hAnsi="Aptos"/>
          <w:b w:val="0"/>
          <w:i/>
          <w:color w:val="4B4B4B"/>
          <w:sz w:val="22"/>
        </w:rPr>
        <w:t>Referência de exemplo: Canal Autorizador</w:t>
      </w:r>
    </w:p>
    <w:p>
      <w:pPr>
        <w:spacing w:after="160" w:line="264" w:lineRule="auto"/>
      </w:pPr>
      <w:r>
        <w:rPr>
          <w:rFonts w:ascii="Aptos" w:hAnsi="Aptos"/>
          <w:b w:val="0"/>
          <w:i w:val="0"/>
          <w:color w:val="000000"/>
          <w:sz w:val="20"/>
        </w:rPr>
        <w:t>Este modelo serve para identificar quais índices precisam ser trabalhados e, somente depois, construir o conteúdo de cada índice escolhido. O Canal Autorizador é uma referência de estrutura; o produto analisado deve definir o que será reaproveitado, editado, criado ou excluído.</w:t>
      </w:r>
    </w:p>
    <w:p>
      <w:pPr>
        <w:pStyle w:val="Heading1"/>
        <w:keepNext/>
        <w:spacing w:before="220" w:after="80"/>
      </w:pPr>
      <w:r>
        <w:rPr>
          <w:rFonts w:ascii="Aptos Display" w:hAnsi="Aptos Display"/>
          <w:b/>
          <w:i w:val="0"/>
          <w:color w:val="000000"/>
          <w:sz w:val="28"/>
        </w:rPr>
        <w:t>1. Mapa inicial dos índices</w:t>
      </w:r>
    </w:p>
    <w:p>
      <w:pPr>
        <w:spacing w:after="140" w:line="264" w:lineRule="auto"/>
      </w:pPr>
      <w:r>
        <w:rPr>
          <w:rFonts w:ascii="Aptos" w:hAnsi="Aptos"/>
          <w:b w:val="0"/>
          <w:i w:val="0"/>
          <w:color w:val="000000"/>
          <w:sz w:val="20"/>
        </w:rPr>
        <w:t>Use o mapa apenas para identificar os índices de referência. O conteúdo será construído depois, somente para os índices selecionados.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48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000000"/>
                <w:sz w:val="19"/>
              </w:rPr>
              <w:t>#</w:t>
            </w:r>
          </w:p>
        </w:tc>
        <w:tc>
          <w:tcPr>
            <w:tcW w:type="dxa" w:w="9864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000000"/>
                <w:sz w:val="19"/>
              </w:rPr>
              <w:t>Índice de referência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Autenticar e obter token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Criar pré-pedido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Consultar um pedido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Enviar retorno do pedido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Enviar nota fiscal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Cancelar pedido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Consultar ressarcimento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Substituir nota fiscal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Consultar pedidos por filtro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Consultar status atualizado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Enviar devolução da nota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Consultar uma devolução</w:t>
            </w:r>
          </w:p>
        </w:tc>
      </w:tr>
      <w:tr>
        <w:tc>
          <w:tcPr>
            <w:tcW w:type="dxa" w:w="64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9864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Consultar devoluções paginadas</w:t>
            </w:r>
          </w:p>
        </w:tc>
      </w:tr>
    </w:tbl>
    <w:p>
      <w:pPr>
        <w:pStyle w:val="Heading1"/>
        <w:keepNext/>
        <w:spacing w:before="220" w:after="80"/>
      </w:pPr>
      <w:r>
        <w:rPr>
          <w:rFonts w:ascii="Aptos Display" w:hAnsi="Aptos Display"/>
          <w:b/>
          <w:i w:val="0"/>
          <w:color w:val="000000"/>
          <w:sz w:val="28"/>
        </w:rPr>
        <w:t>2. Índice escolhido para análise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Produto analisado: </w:t>
      </w:r>
      <w:r>
        <w:rPr>
          <w:rFonts w:ascii="Aptos" w:hAnsi="Aptos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Índice escolhido: </w:t>
      </w:r>
      <w:r>
        <w:rPr>
          <w:rFonts w:ascii="Aptos" w:hAnsi="Aptos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Decisão: </w:t>
      </w:r>
      <w:r>
        <w:rPr>
          <w:rFonts w:ascii="Aptos" w:hAnsi="Aptos"/>
          <w:b w:val="0"/>
          <w:i w:val="0"/>
          <w:color w:val="000000"/>
          <w:sz w:val="20"/>
        </w:rPr>
        <w:t>Reaproveitar | Editar ou adaptar | Criar | Excluir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Motivo da decisão: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220" w:after="80"/>
      </w:pPr>
      <w:r>
        <w:rPr>
          <w:rFonts w:ascii="Aptos Display" w:hAnsi="Aptos Display"/>
          <w:b/>
          <w:i w:val="0"/>
          <w:color w:val="000000"/>
          <w:sz w:val="28"/>
        </w:rPr>
        <w:t>3. Construção do índice</w:t>
      </w:r>
    </w:p>
    <w:p>
      <w:pPr>
        <w:spacing w:after="160" w:line="264" w:lineRule="auto"/>
      </w:pPr>
      <w:r>
        <w:rPr>
          <w:rFonts w:ascii="Aptos" w:hAnsi="Aptos"/>
          <w:b w:val="0"/>
          <w:i w:val="0"/>
          <w:color w:val="000000"/>
          <w:sz w:val="20"/>
        </w:rPr>
        <w:t>Preencha esta parte somente para o índice escolhido. Se outro índice precisar ser construído, copie esta seção e repita o processo.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Nome do índice: </w:t>
      </w:r>
      <w:r>
        <w:rPr>
          <w:rFonts w:ascii="Aptos" w:hAnsi="Aptos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Contexto e objetivo: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Conteúdo que deve estar no índice: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Operação ou rota da API: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Regras, dependências e exceções: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Fluxo resumido: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Homologação e evidências: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/>
          <w:i w:val="0"/>
          <w:color w:val="000000"/>
          <w:sz w:val="20"/>
        </w:rPr>
        <w:t xml:space="preserve">Pendências e responsável: </w:t>
      </w:r>
      <w:r>
        <w:rPr>
          <w:rFonts w:ascii="Aptos" w:hAnsi="Aptos"/>
          <w:b w:val="0"/>
          <w:i w:val="0"/>
          <w:color w:val="000000"/>
          <w:sz w:val="20"/>
        </w:rPr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spacing w:after="60" w:line="264" w:lineRule="auto"/>
      </w:pPr>
      <w:r>
        <w:rPr>
          <w:rFonts w:ascii="Aptos" w:hAnsi="Aptos"/>
          <w:b w:val="0"/>
          <w:i w:val="0"/>
          <w:color w:val="000000"/>
          <w:sz w:val="19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6464"/>
        <w:sz w:val="16"/>
      </w:rPr>
      <w:t>Modelo de análise de índices | Referência Canal Autorizador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