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FBD3" w14:textId="0179BBA4" w:rsidR="00AD2793" w:rsidRPr="00AD2793" w:rsidRDefault="00AD2793" w:rsidP="00AD2793">
      <w:pPr>
        <w:jc w:val="center"/>
        <w:rPr>
          <w:sz w:val="28"/>
          <w:szCs w:val="28"/>
        </w:rPr>
      </w:pPr>
      <w:bookmarkStart w:id="0" w:name="_Toc38644421"/>
      <w:r w:rsidRPr="00AD2793">
        <w:rPr>
          <w:sz w:val="28"/>
          <w:szCs w:val="28"/>
        </w:rPr>
        <w:t>FAC</w:t>
      </w:r>
      <w:r w:rsidR="00CC0892">
        <w:rPr>
          <w:sz w:val="28"/>
          <w:szCs w:val="28"/>
        </w:rPr>
        <w:t>: Transformational</w:t>
      </w:r>
      <w:r w:rsidRPr="00AD2793">
        <w:rPr>
          <w:sz w:val="28"/>
          <w:szCs w:val="28"/>
        </w:rPr>
        <w:t xml:space="preserve"> </w:t>
      </w:r>
      <w:r w:rsidR="00E11844">
        <w:rPr>
          <w:sz w:val="28"/>
          <w:szCs w:val="28"/>
        </w:rPr>
        <w:t>Opportunity</w:t>
      </w:r>
    </w:p>
    <w:p w14:paraId="3F54894B" w14:textId="0D638C3D" w:rsidR="00AD2793" w:rsidRPr="00A71BB4" w:rsidRDefault="00AD2793" w:rsidP="00F97D2C">
      <w:pPr>
        <w:rPr>
          <w:sz w:val="20"/>
          <w:szCs w:val="20"/>
        </w:rPr>
      </w:pPr>
      <w:bookmarkStart w:id="1" w:name="_Hlk38091744"/>
      <w:bookmarkEnd w:id="0"/>
      <w:r w:rsidRPr="00A71BB4">
        <w:rPr>
          <w:sz w:val="20"/>
          <w:szCs w:val="20"/>
        </w:rPr>
        <w:t>FundAdminChain (FAC) is leading the digital transformation of the investment fund value chain</w:t>
      </w:r>
      <w:r w:rsidR="00BF5FEE" w:rsidRPr="00A71BB4">
        <w:rPr>
          <w:sz w:val="20"/>
          <w:szCs w:val="20"/>
        </w:rPr>
        <w:t>.</w:t>
      </w:r>
    </w:p>
    <w:p w14:paraId="281E27E3" w14:textId="032AF21B" w:rsidR="00112E09" w:rsidRPr="00A71BB4" w:rsidRDefault="00F03CA4" w:rsidP="00112E09">
      <w:pPr>
        <w:jc w:val="both"/>
        <w:rPr>
          <w:b/>
          <w:bCs/>
          <w:sz w:val="20"/>
          <w:szCs w:val="20"/>
        </w:rPr>
      </w:pPr>
      <w:r w:rsidRPr="00A71BB4">
        <w:rPr>
          <w:b/>
          <w:bCs/>
          <w:sz w:val="20"/>
          <w:szCs w:val="20"/>
        </w:rPr>
        <w:t>Transformational Industry Opportunity</w:t>
      </w:r>
    </w:p>
    <w:p w14:paraId="7790565C" w14:textId="57F5D285" w:rsidR="00206115" w:rsidRPr="00A71BB4" w:rsidRDefault="00206115" w:rsidP="0062410E">
      <w:pPr>
        <w:pStyle w:val="ListParagraph"/>
        <w:numPr>
          <w:ilvl w:val="0"/>
          <w:numId w:val="4"/>
        </w:numPr>
        <w:jc w:val="both"/>
        <w:rPr>
          <w:sz w:val="20"/>
          <w:szCs w:val="20"/>
        </w:rPr>
      </w:pPr>
      <w:r w:rsidRPr="00A71BB4">
        <w:rPr>
          <w:sz w:val="20"/>
          <w:szCs w:val="20"/>
        </w:rPr>
        <w:t>The Funds Industry is rife with duplicate processing and reconciliations, as intermediaries and service providers are unable to take the financial and reputational risk that another participants’ recordkeeping is incorrect.</w:t>
      </w:r>
    </w:p>
    <w:p w14:paraId="25C0C94D" w14:textId="6EC0DAA1" w:rsidR="0062410E" w:rsidRPr="00A71BB4" w:rsidRDefault="0062410E" w:rsidP="0062410E">
      <w:pPr>
        <w:pStyle w:val="ListParagraph"/>
        <w:numPr>
          <w:ilvl w:val="0"/>
          <w:numId w:val="4"/>
        </w:numPr>
        <w:jc w:val="both"/>
        <w:rPr>
          <w:sz w:val="20"/>
          <w:szCs w:val="20"/>
        </w:rPr>
      </w:pPr>
      <w:r w:rsidRPr="00A71BB4">
        <w:rPr>
          <w:sz w:val="20"/>
          <w:szCs w:val="20"/>
        </w:rPr>
        <w:t>The associated costs are very high and increasingly a strategic threat to the industry. Leading voices agree</w:t>
      </w:r>
      <w:r w:rsidRPr="00A71BB4">
        <w:rPr>
          <w:rStyle w:val="FootnoteReference"/>
          <w:sz w:val="20"/>
          <w:szCs w:val="20"/>
        </w:rPr>
        <w:footnoteReference w:id="1"/>
      </w:r>
      <w:r w:rsidRPr="00A71BB4">
        <w:rPr>
          <w:sz w:val="20"/>
          <w:szCs w:val="20"/>
        </w:rPr>
        <w:t xml:space="preserve"> that distributed ledger technology (DLT) can enable significant cost savings across an industry managing $100 trillion in investor’s assets</w:t>
      </w:r>
      <w:r w:rsidR="00206115" w:rsidRPr="00A71BB4">
        <w:rPr>
          <w:sz w:val="20"/>
          <w:szCs w:val="20"/>
        </w:rPr>
        <w:t>.</w:t>
      </w:r>
    </w:p>
    <w:p w14:paraId="6FF7607E" w14:textId="0A4BAA3B" w:rsidR="0062410E" w:rsidRPr="00A71BB4" w:rsidRDefault="0062410E" w:rsidP="0062410E">
      <w:pPr>
        <w:pStyle w:val="ListParagraph"/>
        <w:numPr>
          <w:ilvl w:val="0"/>
          <w:numId w:val="4"/>
        </w:numPr>
        <w:jc w:val="both"/>
        <w:rPr>
          <w:sz w:val="20"/>
          <w:szCs w:val="20"/>
        </w:rPr>
      </w:pPr>
      <w:r w:rsidRPr="00A71BB4">
        <w:rPr>
          <w:sz w:val="20"/>
          <w:szCs w:val="20"/>
        </w:rPr>
        <w:t>It is clear that that there are multiple billions of dollars to be saved globally if the cost and speed of funds trading and settlements could be reduced to that of listed securities</w:t>
      </w:r>
      <w:r w:rsidR="00F90E41" w:rsidRPr="00A71BB4">
        <w:rPr>
          <w:sz w:val="20"/>
          <w:szCs w:val="20"/>
        </w:rPr>
        <w:t>;</w:t>
      </w:r>
      <w:r w:rsidRPr="00A71BB4">
        <w:rPr>
          <w:sz w:val="20"/>
          <w:szCs w:val="20"/>
        </w:rPr>
        <w:t xml:space="preserve"> this is just the </w:t>
      </w:r>
      <w:r w:rsidR="00F90E41" w:rsidRPr="00A71BB4">
        <w:rPr>
          <w:sz w:val="20"/>
          <w:szCs w:val="20"/>
        </w:rPr>
        <w:t xml:space="preserve">beginning of the </w:t>
      </w:r>
      <w:r w:rsidRPr="00A71BB4">
        <w:rPr>
          <w:sz w:val="20"/>
          <w:szCs w:val="20"/>
        </w:rPr>
        <w:t xml:space="preserve">funds value chain </w:t>
      </w:r>
      <w:r w:rsidR="00F90E41" w:rsidRPr="00A71BB4">
        <w:rPr>
          <w:sz w:val="20"/>
          <w:szCs w:val="20"/>
        </w:rPr>
        <w:t>evolution</w:t>
      </w:r>
      <w:r w:rsidRPr="00A71BB4">
        <w:rPr>
          <w:sz w:val="20"/>
          <w:szCs w:val="20"/>
        </w:rPr>
        <w:t>. Potential savings in UK market alone is est. $3.75bn in intermediary and service provider fees per annum reducing cost from $4.5bn to $0.75bn</w:t>
      </w:r>
      <w:r w:rsidR="00206115" w:rsidRPr="00A71BB4">
        <w:rPr>
          <w:sz w:val="20"/>
          <w:szCs w:val="20"/>
        </w:rPr>
        <w:t>.</w:t>
      </w:r>
    </w:p>
    <w:p w14:paraId="003DB398" w14:textId="480C407B" w:rsidR="0062410E" w:rsidRPr="00A71BB4" w:rsidRDefault="0062410E" w:rsidP="0062410E">
      <w:pPr>
        <w:pStyle w:val="ListParagraph"/>
        <w:numPr>
          <w:ilvl w:val="0"/>
          <w:numId w:val="4"/>
        </w:numPr>
        <w:jc w:val="both"/>
        <w:rPr>
          <w:sz w:val="20"/>
          <w:szCs w:val="20"/>
        </w:rPr>
      </w:pPr>
      <w:r w:rsidRPr="00A71BB4">
        <w:rPr>
          <w:sz w:val="20"/>
          <w:szCs w:val="20"/>
        </w:rPr>
        <w:t>A DLT based solution will streamline the recordkeeping for intermediaries (i.e. distributors, investment platforms and wealth managers), service providers (transfer agents and reporting utilities) and fund managers. At present, all these participants are engaged in their own recordkeeping of transactions</w:t>
      </w:r>
      <w:r w:rsidR="00F90E41" w:rsidRPr="00A71BB4">
        <w:rPr>
          <w:sz w:val="20"/>
          <w:szCs w:val="20"/>
        </w:rPr>
        <w:t xml:space="preserve">. </w:t>
      </w:r>
      <w:r w:rsidRPr="00A71BB4">
        <w:rPr>
          <w:sz w:val="20"/>
          <w:szCs w:val="20"/>
        </w:rPr>
        <w:t xml:space="preserve">DLT will enable the elimination of duplicate recordkeeping and reconciliations to third parties.  </w:t>
      </w:r>
      <w:r w:rsidR="00F90E41" w:rsidRPr="00A71BB4">
        <w:rPr>
          <w:sz w:val="20"/>
          <w:szCs w:val="20"/>
        </w:rPr>
        <w:t xml:space="preserve">Further </w:t>
      </w:r>
      <w:r w:rsidRPr="00A71BB4">
        <w:rPr>
          <w:sz w:val="20"/>
          <w:szCs w:val="20"/>
        </w:rPr>
        <w:t xml:space="preserve">benefits </w:t>
      </w:r>
      <w:r w:rsidR="00F90E41" w:rsidRPr="00A71BB4">
        <w:rPr>
          <w:sz w:val="20"/>
          <w:szCs w:val="20"/>
        </w:rPr>
        <w:t xml:space="preserve">include </w:t>
      </w:r>
      <w:r w:rsidRPr="00A71BB4">
        <w:rPr>
          <w:sz w:val="20"/>
          <w:szCs w:val="20"/>
        </w:rPr>
        <w:t>real-time settlement of fund transactions, important removal of servicing risks</w:t>
      </w:r>
      <w:r w:rsidR="00F90E41" w:rsidRPr="00A71BB4">
        <w:rPr>
          <w:sz w:val="20"/>
          <w:szCs w:val="20"/>
        </w:rPr>
        <w:t>,</w:t>
      </w:r>
      <w:r w:rsidRPr="00A71BB4">
        <w:rPr>
          <w:sz w:val="20"/>
          <w:szCs w:val="20"/>
        </w:rPr>
        <w:t xml:space="preserve"> and results in radically simplified and standardised processes</w:t>
      </w:r>
      <w:r w:rsidR="00206115" w:rsidRPr="00A71BB4">
        <w:rPr>
          <w:sz w:val="20"/>
          <w:szCs w:val="20"/>
        </w:rPr>
        <w:t>.</w:t>
      </w:r>
    </w:p>
    <w:p w14:paraId="5A1F7E65" w14:textId="7363E2FE" w:rsidR="0062410E" w:rsidRPr="00A71BB4" w:rsidRDefault="0062410E" w:rsidP="0062410E">
      <w:pPr>
        <w:pStyle w:val="ListParagraph"/>
        <w:numPr>
          <w:ilvl w:val="0"/>
          <w:numId w:val="4"/>
        </w:numPr>
        <w:jc w:val="both"/>
        <w:rPr>
          <w:sz w:val="20"/>
          <w:szCs w:val="20"/>
        </w:rPr>
      </w:pPr>
      <w:r w:rsidRPr="00A71BB4">
        <w:rPr>
          <w:sz w:val="20"/>
          <w:szCs w:val="20"/>
        </w:rPr>
        <w:t>New and innovative fund products and investing services are being proposed by fund managers in response to the demand from new waves of investors seeking cost-efficiency and flexibility.  However, these pioneering fund managers find it difficult to operate funds with digital-driven features on the aging rails of the conventional investment funds industry.  Once again, DLT is regularly being promoted as the foundation that could enable a more equitable fee model for distributing such fund products</w:t>
      </w:r>
      <w:r w:rsidR="00206115" w:rsidRPr="00A71BB4">
        <w:rPr>
          <w:sz w:val="20"/>
          <w:szCs w:val="20"/>
        </w:rPr>
        <w:t>.</w:t>
      </w:r>
    </w:p>
    <w:p w14:paraId="0540E108" w14:textId="496BD0FC" w:rsidR="0062410E" w:rsidRPr="00A71BB4" w:rsidRDefault="0062410E" w:rsidP="0062410E">
      <w:pPr>
        <w:pStyle w:val="ListParagraph"/>
        <w:numPr>
          <w:ilvl w:val="0"/>
          <w:numId w:val="4"/>
        </w:numPr>
        <w:jc w:val="both"/>
        <w:rPr>
          <w:sz w:val="20"/>
          <w:szCs w:val="20"/>
        </w:rPr>
      </w:pPr>
      <w:r w:rsidRPr="00A71BB4">
        <w:rPr>
          <w:sz w:val="20"/>
          <w:szCs w:val="20"/>
        </w:rPr>
        <w:t>Yet</w:t>
      </w:r>
      <w:r w:rsidR="00C652EB" w:rsidRPr="00A71BB4">
        <w:rPr>
          <w:sz w:val="20"/>
          <w:szCs w:val="20"/>
        </w:rPr>
        <w:t>,</w:t>
      </w:r>
      <w:r w:rsidRPr="00A71BB4">
        <w:rPr>
          <w:sz w:val="20"/>
          <w:szCs w:val="20"/>
        </w:rPr>
        <w:t xml:space="preserve"> despite it being well documented that there is convoluted, dated funds market infrastructure that could be overhauled through DLT, there is inertia across the industry. This may be because:</w:t>
      </w:r>
    </w:p>
    <w:p w14:paraId="5E26C3C0" w14:textId="7044C6A4" w:rsidR="00AD2793" w:rsidRPr="00A71BB4" w:rsidRDefault="00AD2793" w:rsidP="00AD2793">
      <w:pPr>
        <w:pStyle w:val="ListParagraph"/>
        <w:numPr>
          <w:ilvl w:val="1"/>
          <w:numId w:val="4"/>
        </w:numPr>
        <w:jc w:val="both"/>
        <w:rPr>
          <w:sz w:val="20"/>
          <w:szCs w:val="20"/>
        </w:rPr>
      </w:pPr>
      <w:r w:rsidRPr="00A71BB4">
        <w:rPr>
          <w:sz w:val="20"/>
          <w:szCs w:val="20"/>
        </w:rPr>
        <w:t>Many participants in the value chain would lose significant revenues</w:t>
      </w:r>
      <w:r w:rsidR="00C652EB" w:rsidRPr="00A71BB4">
        <w:rPr>
          <w:sz w:val="20"/>
          <w:szCs w:val="20"/>
        </w:rPr>
        <w:t>;</w:t>
      </w:r>
    </w:p>
    <w:p w14:paraId="04347FE9" w14:textId="2F0EF846" w:rsidR="0062410E" w:rsidRPr="00A71BB4" w:rsidRDefault="0062410E" w:rsidP="0062410E">
      <w:pPr>
        <w:pStyle w:val="ListParagraph"/>
        <w:numPr>
          <w:ilvl w:val="1"/>
          <w:numId w:val="4"/>
        </w:numPr>
        <w:jc w:val="both"/>
        <w:rPr>
          <w:sz w:val="20"/>
          <w:szCs w:val="20"/>
        </w:rPr>
      </w:pPr>
      <w:r w:rsidRPr="00A71BB4">
        <w:rPr>
          <w:sz w:val="20"/>
          <w:szCs w:val="20"/>
        </w:rPr>
        <w:t>Fund Managers envisage the change to be too complex, requiring collaboration across an entire industry, involving multiple regulatory regimes, and believe other parties should take the lead and provide a better service</w:t>
      </w:r>
      <w:r w:rsidR="00206115" w:rsidRPr="00A71BB4">
        <w:rPr>
          <w:sz w:val="20"/>
          <w:szCs w:val="20"/>
        </w:rPr>
        <w:t>; Or</w:t>
      </w:r>
    </w:p>
    <w:p w14:paraId="6D1BC923" w14:textId="126CA47B" w:rsidR="0062410E" w:rsidRPr="00A71BB4" w:rsidRDefault="00206115" w:rsidP="0062410E">
      <w:pPr>
        <w:pStyle w:val="ListParagraph"/>
        <w:numPr>
          <w:ilvl w:val="1"/>
          <w:numId w:val="4"/>
        </w:numPr>
        <w:jc w:val="both"/>
        <w:rPr>
          <w:sz w:val="20"/>
          <w:szCs w:val="20"/>
        </w:rPr>
      </w:pPr>
      <w:r w:rsidRPr="00A71BB4">
        <w:rPr>
          <w:sz w:val="20"/>
          <w:szCs w:val="20"/>
        </w:rPr>
        <w:t>A</w:t>
      </w:r>
      <w:r w:rsidR="0062410E" w:rsidRPr="00A71BB4">
        <w:rPr>
          <w:sz w:val="20"/>
          <w:szCs w:val="20"/>
        </w:rPr>
        <w:t xml:space="preserve"> focus on shorter term gains and rather than focusing on what is a C-level, strategic consideration for the buy-side</w:t>
      </w:r>
      <w:r w:rsidRPr="00A71BB4">
        <w:rPr>
          <w:sz w:val="20"/>
          <w:szCs w:val="20"/>
        </w:rPr>
        <w:t>.</w:t>
      </w:r>
    </w:p>
    <w:p w14:paraId="4A67D424" w14:textId="0C4236A2" w:rsidR="00112E09" w:rsidRPr="00A71BB4" w:rsidRDefault="00112E09" w:rsidP="00AD2793">
      <w:pPr>
        <w:jc w:val="both"/>
        <w:rPr>
          <w:b/>
          <w:bCs/>
          <w:sz w:val="20"/>
          <w:szCs w:val="20"/>
        </w:rPr>
      </w:pPr>
      <w:r w:rsidRPr="00A71BB4">
        <w:rPr>
          <w:b/>
          <w:bCs/>
          <w:sz w:val="20"/>
          <w:szCs w:val="20"/>
        </w:rPr>
        <w:t xml:space="preserve">Introducing FAC </w:t>
      </w:r>
    </w:p>
    <w:p w14:paraId="2A8A8ACE" w14:textId="416107C4" w:rsidR="00AC3B6D" w:rsidRPr="00A71BB4" w:rsidRDefault="00AC3B6D" w:rsidP="00AC3B6D">
      <w:pPr>
        <w:jc w:val="both"/>
        <w:rPr>
          <w:sz w:val="20"/>
          <w:szCs w:val="20"/>
        </w:rPr>
      </w:pPr>
      <w:r w:rsidRPr="00A71BB4">
        <w:rPr>
          <w:sz w:val="20"/>
          <w:szCs w:val="20"/>
        </w:rPr>
        <w:t xml:space="preserve">FAC have taken the initiative to design and build the industry solution </w:t>
      </w:r>
      <w:r w:rsidR="00C652EB" w:rsidRPr="00A71BB4">
        <w:rPr>
          <w:sz w:val="20"/>
          <w:szCs w:val="20"/>
        </w:rPr>
        <w:t>to</w:t>
      </w:r>
      <w:r w:rsidRPr="00A71BB4">
        <w:rPr>
          <w:sz w:val="20"/>
          <w:szCs w:val="20"/>
        </w:rPr>
        <w:t xml:space="preserve"> shake the industry out of this inertia. We are ensuring that the scale and scope of the opportunity is </w:t>
      </w:r>
      <w:r w:rsidR="00C652EB" w:rsidRPr="00A71BB4">
        <w:rPr>
          <w:sz w:val="20"/>
          <w:szCs w:val="20"/>
        </w:rPr>
        <w:t xml:space="preserve">communicated, </w:t>
      </w:r>
      <w:r w:rsidRPr="00A71BB4">
        <w:rPr>
          <w:sz w:val="20"/>
          <w:szCs w:val="20"/>
        </w:rPr>
        <w:t>validated</w:t>
      </w:r>
      <w:r w:rsidR="001308D2" w:rsidRPr="00A71BB4">
        <w:rPr>
          <w:sz w:val="20"/>
          <w:szCs w:val="20"/>
        </w:rPr>
        <w:t>,</w:t>
      </w:r>
      <w:r w:rsidRPr="00A71BB4">
        <w:rPr>
          <w:sz w:val="20"/>
          <w:szCs w:val="20"/>
        </w:rPr>
        <w:t xml:space="preserve"> and that Fund Managers take an active role </w:t>
      </w:r>
      <w:r w:rsidR="00C652EB" w:rsidRPr="00A71BB4">
        <w:rPr>
          <w:sz w:val="20"/>
          <w:szCs w:val="20"/>
        </w:rPr>
        <w:t xml:space="preserve">in </w:t>
      </w:r>
      <w:r w:rsidRPr="00A71BB4">
        <w:rPr>
          <w:sz w:val="20"/>
          <w:szCs w:val="20"/>
        </w:rPr>
        <w:t>revolutionising their costs base and digitalising their products.</w:t>
      </w:r>
    </w:p>
    <w:p w14:paraId="1FFBBA75" w14:textId="286E8BE1" w:rsidR="00AC3B6D" w:rsidRPr="00A71BB4" w:rsidRDefault="00AC3B6D" w:rsidP="00AC3B6D">
      <w:pPr>
        <w:jc w:val="both"/>
        <w:rPr>
          <w:sz w:val="20"/>
          <w:szCs w:val="20"/>
        </w:rPr>
      </w:pPr>
      <w:r w:rsidRPr="00A71BB4">
        <w:rPr>
          <w:sz w:val="20"/>
          <w:szCs w:val="20"/>
        </w:rPr>
        <w:t>At a high level, FAC are tokenising fund share and currency onto a private permissioned FAC network. This provides a primary representation of assets, cash</w:t>
      </w:r>
      <w:r w:rsidR="001308D2" w:rsidRPr="00A71BB4">
        <w:rPr>
          <w:sz w:val="20"/>
          <w:szCs w:val="20"/>
        </w:rPr>
        <w:t>,</w:t>
      </w:r>
      <w:r w:rsidRPr="00A71BB4">
        <w:rPr>
          <w:sz w:val="20"/>
          <w:szCs w:val="20"/>
        </w:rPr>
        <w:t xml:space="preserve"> and fund transactions within the FAC network, as cash and fund holdings are fully digitalised. This creates a network wherein participants transact with each other digitally, issuing and trading funds in a way that shares the same information on ownership and </w:t>
      </w:r>
      <w:r w:rsidRPr="00A71BB4">
        <w:rPr>
          <w:sz w:val="20"/>
          <w:szCs w:val="20"/>
          <w:lang w:val="en-IN"/>
        </w:rPr>
        <w:t>transactions. This reduces elongated settlement and fund clearing time cycles, enabling immediacy of accurate data  and builds the foundations for the delivery of new digital channels and lower cost digital investment products. The first step is to launch FAC DLT-native funds followed by tokenisation of off-ledger funds through our in-built asset exchange.</w:t>
      </w:r>
    </w:p>
    <w:p w14:paraId="637667DD" w14:textId="764EED89" w:rsidR="00112E09" w:rsidRPr="00A63E74" w:rsidRDefault="00E909D8" w:rsidP="00112E09">
      <w:pPr>
        <w:jc w:val="both"/>
        <w:rPr>
          <w:b/>
          <w:bCs/>
          <w:sz w:val="20"/>
          <w:szCs w:val="20"/>
        </w:rPr>
      </w:pPr>
      <w:r w:rsidRPr="00A63E74">
        <w:rPr>
          <w:b/>
          <w:bCs/>
          <w:sz w:val="20"/>
          <w:szCs w:val="20"/>
        </w:rPr>
        <w:t>FAC have the capability, drive</w:t>
      </w:r>
      <w:r w:rsidR="00546622" w:rsidRPr="00A63E74">
        <w:rPr>
          <w:b/>
          <w:bCs/>
          <w:sz w:val="20"/>
          <w:szCs w:val="20"/>
        </w:rPr>
        <w:t>,</w:t>
      </w:r>
      <w:r w:rsidRPr="00A63E74">
        <w:rPr>
          <w:b/>
          <w:bCs/>
          <w:sz w:val="20"/>
          <w:szCs w:val="20"/>
        </w:rPr>
        <w:t xml:space="preserve"> and momentum to succeed with this transformation </w:t>
      </w:r>
    </w:p>
    <w:p w14:paraId="778736FA" w14:textId="7988D00C" w:rsidR="00E909D8" w:rsidRPr="00A71BB4" w:rsidRDefault="00AD2793" w:rsidP="00112E09">
      <w:pPr>
        <w:pStyle w:val="ListParagraph"/>
        <w:numPr>
          <w:ilvl w:val="0"/>
          <w:numId w:val="13"/>
        </w:numPr>
        <w:jc w:val="both"/>
        <w:rPr>
          <w:sz w:val="20"/>
          <w:szCs w:val="20"/>
        </w:rPr>
      </w:pPr>
      <w:r w:rsidRPr="00A71BB4">
        <w:rPr>
          <w:sz w:val="20"/>
          <w:szCs w:val="20"/>
        </w:rPr>
        <w:lastRenderedPageBreak/>
        <w:t xml:space="preserve">Leadership team </w:t>
      </w:r>
      <w:r w:rsidR="00546622" w:rsidRPr="00A71BB4">
        <w:rPr>
          <w:sz w:val="20"/>
          <w:szCs w:val="20"/>
        </w:rPr>
        <w:t xml:space="preserve">brings with them a </w:t>
      </w:r>
      <w:r w:rsidRPr="00A71BB4">
        <w:rPr>
          <w:sz w:val="20"/>
          <w:szCs w:val="20"/>
        </w:rPr>
        <w:t>track record of overseeing the strategic direction and delivery of complex collaborative programs within the financial markets</w:t>
      </w:r>
      <w:r w:rsidR="00E909D8" w:rsidRPr="00A71BB4">
        <w:rPr>
          <w:sz w:val="20"/>
          <w:szCs w:val="20"/>
        </w:rPr>
        <w:t>. In addition, we have the blend of Funds and</w:t>
      </w:r>
      <w:r w:rsidR="00E11844">
        <w:rPr>
          <w:sz w:val="20"/>
          <w:szCs w:val="20"/>
        </w:rPr>
        <w:t xml:space="preserve"> </w:t>
      </w:r>
      <w:r w:rsidR="00E909D8" w:rsidRPr="00A71BB4">
        <w:rPr>
          <w:sz w:val="20"/>
          <w:szCs w:val="20"/>
        </w:rPr>
        <w:t xml:space="preserve">DLT expertise and the </w:t>
      </w:r>
      <w:r w:rsidR="00AC3B6D" w:rsidRPr="00A71BB4">
        <w:rPr>
          <w:sz w:val="20"/>
          <w:szCs w:val="20"/>
        </w:rPr>
        <w:t xml:space="preserve">market </w:t>
      </w:r>
      <w:r w:rsidR="00E909D8" w:rsidRPr="00A71BB4">
        <w:rPr>
          <w:sz w:val="20"/>
          <w:szCs w:val="20"/>
        </w:rPr>
        <w:t>connections required to design and deliver a network solution</w:t>
      </w:r>
      <w:r w:rsidR="00206115" w:rsidRPr="00A71BB4">
        <w:rPr>
          <w:sz w:val="20"/>
          <w:szCs w:val="20"/>
        </w:rPr>
        <w:t>.</w:t>
      </w:r>
    </w:p>
    <w:p w14:paraId="214AA00B" w14:textId="3F572AD6" w:rsidR="00E11844" w:rsidRPr="00E11844" w:rsidRDefault="00E11844" w:rsidP="00E11844">
      <w:pPr>
        <w:pStyle w:val="ListParagraph"/>
        <w:numPr>
          <w:ilvl w:val="0"/>
          <w:numId w:val="13"/>
        </w:numPr>
        <w:jc w:val="both"/>
        <w:rPr>
          <w:sz w:val="20"/>
          <w:szCs w:val="20"/>
        </w:rPr>
      </w:pPr>
      <w:r w:rsidRPr="00E11844">
        <w:rPr>
          <w:sz w:val="20"/>
          <w:szCs w:val="20"/>
          <w:lang w:val="en-IN"/>
        </w:rPr>
        <w:t>FAC is not a pure software play, it is a market play backed by R3 (</w:t>
      </w:r>
      <w:hyperlink r:id="rId7" w:history="1">
        <w:r w:rsidRPr="00E11844">
          <w:rPr>
            <w:rStyle w:val="Hyperlink"/>
            <w:sz w:val="20"/>
            <w:szCs w:val="20"/>
            <w:lang w:val="en-IN"/>
          </w:rPr>
          <w:t>www.r3.com</w:t>
        </w:r>
      </w:hyperlink>
      <w:r w:rsidRPr="00E11844">
        <w:rPr>
          <w:sz w:val="20"/>
          <w:szCs w:val="20"/>
          <w:lang w:val="en-IN"/>
        </w:rPr>
        <w:t xml:space="preserve">), the </w:t>
      </w:r>
      <w:r w:rsidR="00C0080E" w:rsidRPr="00E11844">
        <w:rPr>
          <w:sz w:val="20"/>
          <w:szCs w:val="20"/>
          <w:lang w:val="en-IN"/>
        </w:rPr>
        <w:t>world’s</w:t>
      </w:r>
      <w:r w:rsidRPr="00E11844">
        <w:rPr>
          <w:sz w:val="20"/>
          <w:szCs w:val="20"/>
          <w:lang w:val="en-IN"/>
        </w:rPr>
        <w:t xml:space="preserve"> largest </w:t>
      </w:r>
      <w:r w:rsidRPr="00E11844">
        <w:rPr>
          <w:sz w:val="20"/>
          <w:szCs w:val="20"/>
        </w:rPr>
        <w:t>blockchain focused collaboration with over 40 banks and leading financial organisations investing in R3.</w:t>
      </w:r>
      <w:r>
        <w:rPr>
          <w:sz w:val="20"/>
          <w:szCs w:val="20"/>
        </w:rPr>
        <w:t xml:space="preserve"> </w:t>
      </w:r>
      <w:r w:rsidRPr="00E11844">
        <w:rPr>
          <w:sz w:val="20"/>
          <w:szCs w:val="20"/>
        </w:rPr>
        <w:t>FAC follows a proven consortium model whereby we are creating massive value as opposed to focusing on immediate revenue.</w:t>
      </w:r>
    </w:p>
    <w:p w14:paraId="3F8E1360" w14:textId="6B286327" w:rsidR="00E909D8" w:rsidRPr="00A71BB4" w:rsidRDefault="00E909D8" w:rsidP="00546622">
      <w:pPr>
        <w:pStyle w:val="ListParagraph"/>
        <w:numPr>
          <w:ilvl w:val="0"/>
          <w:numId w:val="13"/>
        </w:numPr>
        <w:jc w:val="both"/>
        <w:rPr>
          <w:sz w:val="20"/>
          <w:szCs w:val="20"/>
        </w:rPr>
      </w:pPr>
      <w:r w:rsidRPr="00A71BB4">
        <w:rPr>
          <w:sz w:val="20"/>
          <w:szCs w:val="20"/>
        </w:rPr>
        <w:t xml:space="preserve">This enabled us to design and execute a plan to </w:t>
      </w:r>
      <w:r w:rsidR="00546622" w:rsidRPr="00A71BB4">
        <w:rPr>
          <w:sz w:val="20"/>
          <w:szCs w:val="20"/>
        </w:rPr>
        <w:t>attract</w:t>
      </w:r>
      <w:r w:rsidR="00546622" w:rsidRPr="00A71BB4" w:rsidDel="00546622">
        <w:rPr>
          <w:sz w:val="20"/>
          <w:szCs w:val="20"/>
        </w:rPr>
        <w:t xml:space="preserve"> </w:t>
      </w:r>
      <w:r w:rsidRPr="00A71BB4">
        <w:rPr>
          <w:sz w:val="20"/>
          <w:szCs w:val="20"/>
        </w:rPr>
        <w:t>all parties, in a specific order of engagement, to participate in the m</w:t>
      </w:r>
      <w:r w:rsidR="00AC3B6D" w:rsidRPr="00A71BB4">
        <w:rPr>
          <w:sz w:val="20"/>
          <w:szCs w:val="20"/>
        </w:rPr>
        <w:t>ulti-dimensional</w:t>
      </w:r>
      <w:r w:rsidRPr="00A71BB4">
        <w:rPr>
          <w:sz w:val="20"/>
          <w:szCs w:val="20"/>
        </w:rPr>
        <w:t xml:space="preserve"> collaborative programme of work required to move from concept through design, build, test</w:t>
      </w:r>
      <w:r w:rsidR="00546622" w:rsidRPr="00A71BB4">
        <w:rPr>
          <w:sz w:val="20"/>
          <w:szCs w:val="20"/>
        </w:rPr>
        <w:t>,</w:t>
      </w:r>
      <w:r w:rsidRPr="00A71BB4">
        <w:rPr>
          <w:sz w:val="20"/>
          <w:szCs w:val="20"/>
        </w:rPr>
        <w:t xml:space="preserve"> and deploy</w:t>
      </w:r>
      <w:r w:rsidR="00546622" w:rsidRPr="00A71BB4">
        <w:rPr>
          <w:sz w:val="20"/>
          <w:szCs w:val="20"/>
        </w:rPr>
        <w:t>ment</w:t>
      </w:r>
      <w:r w:rsidRPr="00A71BB4">
        <w:rPr>
          <w:sz w:val="20"/>
          <w:szCs w:val="20"/>
        </w:rPr>
        <w:t xml:space="preserve"> and in parallel </w:t>
      </w:r>
      <w:r w:rsidR="00AC3B6D" w:rsidRPr="00A71BB4">
        <w:rPr>
          <w:sz w:val="20"/>
          <w:szCs w:val="20"/>
        </w:rPr>
        <w:t>assemble</w:t>
      </w:r>
      <w:r w:rsidRPr="00A71BB4">
        <w:rPr>
          <w:sz w:val="20"/>
          <w:szCs w:val="20"/>
        </w:rPr>
        <w:t xml:space="preserve"> a future state commercial construct that is attractive for all market participants</w:t>
      </w:r>
      <w:r w:rsidR="00206115" w:rsidRPr="00A71BB4">
        <w:rPr>
          <w:sz w:val="20"/>
          <w:szCs w:val="20"/>
        </w:rPr>
        <w:t>.</w:t>
      </w:r>
    </w:p>
    <w:p w14:paraId="29E33897" w14:textId="0A9D0632" w:rsidR="00AD2793" w:rsidRPr="00A71BB4" w:rsidRDefault="00546622" w:rsidP="008B6EEB">
      <w:pPr>
        <w:pStyle w:val="ListParagraph"/>
        <w:numPr>
          <w:ilvl w:val="0"/>
          <w:numId w:val="13"/>
        </w:numPr>
        <w:jc w:val="both"/>
        <w:rPr>
          <w:sz w:val="20"/>
          <w:szCs w:val="20"/>
        </w:rPr>
      </w:pPr>
      <w:r w:rsidRPr="00A71BB4">
        <w:rPr>
          <w:sz w:val="20"/>
          <w:szCs w:val="20"/>
        </w:rPr>
        <w:t>From its outset, FAC has engaged appropriate regulators early in development to ensure support and compliance. FAC received t</w:t>
      </w:r>
      <w:r w:rsidR="00AD2793" w:rsidRPr="00A71BB4">
        <w:rPr>
          <w:sz w:val="20"/>
          <w:szCs w:val="20"/>
        </w:rPr>
        <w:t xml:space="preserve">he backing of the FCA and associated industry bodies (Investment Association and the Depository Association), with FAC being accepted into the </w:t>
      </w:r>
      <w:hyperlink r:id="rId8" w:history="1">
        <w:r w:rsidR="00AC3B6D" w:rsidRPr="00A71BB4">
          <w:rPr>
            <w:rStyle w:val="Hyperlink"/>
            <w:sz w:val="20"/>
            <w:szCs w:val="20"/>
          </w:rPr>
          <w:t>FCA Regulatory Sandbox</w:t>
        </w:r>
      </w:hyperlink>
      <w:r w:rsidR="00AD2793" w:rsidRPr="00A71BB4">
        <w:rPr>
          <w:sz w:val="20"/>
          <w:szCs w:val="20"/>
        </w:rPr>
        <w:t xml:space="preserve"> to frame a 2020 pilot and secure the launch of a digital fund from a regulatory perspective</w:t>
      </w:r>
      <w:r w:rsidR="00206115" w:rsidRPr="00A71BB4">
        <w:rPr>
          <w:sz w:val="20"/>
          <w:szCs w:val="20"/>
        </w:rPr>
        <w:t>.</w:t>
      </w:r>
    </w:p>
    <w:p w14:paraId="0CFEB4BA" w14:textId="09621252" w:rsidR="00AD2793" w:rsidRPr="00A71BB4" w:rsidRDefault="00546622" w:rsidP="008B6EEB">
      <w:pPr>
        <w:pStyle w:val="ListParagraph"/>
        <w:numPr>
          <w:ilvl w:val="0"/>
          <w:numId w:val="13"/>
        </w:numPr>
        <w:jc w:val="both"/>
        <w:rPr>
          <w:sz w:val="20"/>
          <w:szCs w:val="20"/>
        </w:rPr>
      </w:pPr>
      <w:r w:rsidRPr="00A71BB4">
        <w:rPr>
          <w:sz w:val="20"/>
          <w:szCs w:val="20"/>
        </w:rPr>
        <w:t xml:space="preserve">FAC has garnered deep </w:t>
      </w:r>
      <w:r w:rsidR="00AD2793" w:rsidRPr="00A71BB4">
        <w:rPr>
          <w:sz w:val="20"/>
          <w:szCs w:val="20"/>
        </w:rPr>
        <w:t>engagement within the Fund Management community with over 10 Fund Managers having formed the FAC Strategic Advisory Group</w:t>
      </w:r>
      <w:r w:rsidR="004B2D80" w:rsidRPr="00A71BB4">
        <w:rPr>
          <w:sz w:val="20"/>
          <w:szCs w:val="20"/>
        </w:rPr>
        <w:t xml:space="preserve"> including Aberdeen Standard, Aegon, Alliance Bernstein, Columbia Threadneedle, DB, Fidelity International, HSBC AM, Legal &amp; General, M&amp;G, Legg Mason and UBS</w:t>
      </w:r>
      <w:r w:rsidR="00206115" w:rsidRPr="00A71BB4">
        <w:rPr>
          <w:sz w:val="20"/>
          <w:szCs w:val="20"/>
        </w:rPr>
        <w:t>.</w:t>
      </w:r>
    </w:p>
    <w:p w14:paraId="2267FC12" w14:textId="49C547FF" w:rsidR="00AD2793" w:rsidRPr="00A71BB4" w:rsidRDefault="002443F0" w:rsidP="008B6EEB">
      <w:pPr>
        <w:pStyle w:val="ListParagraph"/>
        <w:numPr>
          <w:ilvl w:val="0"/>
          <w:numId w:val="13"/>
        </w:numPr>
        <w:jc w:val="both"/>
        <w:rPr>
          <w:sz w:val="20"/>
          <w:szCs w:val="20"/>
        </w:rPr>
      </w:pPr>
      <w:r w:rsidRPr="00A71BB4">
        <w:rPr>
          <w:sz w:val="20"/>
          <w:szCs w:val="20"/>
        </w:rPr>
        <w:t xml:space="preserve">After </w:t>
      </w:r>
      <w:r w:rsidR="00AD2793" w:rsidRPr="00A71BB4">
        <w:rPr>
          <w:sz w:val="20"/>
          <w:szCs w:val="20"/>
        </w:rPr>
        <w:t xml:space="preserve">2 years of product design and build, </w:t>
      </w:r>
      <w:r w:rsidRPr="00A71BB4">
        <w:rPr>
          <w:sz w:val="20"/>
          <w:szCs w:val="20"/>
        </w:rPr>
        <w:t xml:space="preserve">FAC completed </w:t>
      </w:r>
      <w:r w:rsidR="00AD2793" w:rsidRPr="00A71BB4">
        <w:rPr>
          <w:sz w:val="20"/>
          <w:szCs w:val="20"/>
        </w:rPr>
        <w:t>a successful PoC with Royal Bank of Canada in Q419</w:t>
      </w:r>
      <w:r w:rsidRPr="00A71BB4">
        <w:rPr>
          <w:sz w:val="20"/>
          <w:szCs w:val="20"/>
        </w:rPr>
        <w:t>-</w:t>
      </w:r>
      <w:r w:rsidR="00AD2793" w:rsidRPr="00A71BB4">
        <w:rPr>
          <w:sz w:val="20"/>
          <w:szCs w:val="20"/>
        </w:rPr>
        <w:t>Q12020 of the FAC network and product (</w:t>
      </w:r>
      <w:r w:rsidRPr="00A71BB4">
        <w:rPr>
          <w:sz w:val="20"/>
          <w:szCs w:val="20"/>
        </w:rPr>
        <w:t xml:space="preserve">covers </w:t>
      </w:r>
      <w:r w:rsidR="00AD2793" w:rsidRPr="00A71BB4">
        <w:rPr>
          <w:sz w:val="20"/>
          <w:szCs w:val="20"/>
        </w:rPr>
        <w:t>direct issuance and tokenising of off-ledger funds)</w:t>
      </w:r>
      <w:r w:rsidR="00206115" w:rsidRPr="00A71BB4">
        <w:rPr>
          <w:sz w:val="20"/>
          <w:szCs w:val="20"/>
        </w:rPr>
        <w:t>.</w:t>
      </w:r>
      <w:r w:rsidR="00AD2793" w:rsidRPr="00A71BB4">
        <w:rPr>
          <w:sz w:val="20"/>
          <w:szCs w:val="20"/>
        </w:rPr>
        <w:t xml:space="preserve"> </w:t>
      </w:r>
    </w:p>
    <w:p w14:paraId="03E42F10" w14:textId="77777777" w:rsidR="002443F0" w:rsidRPr="00A71BB4" w:rsidRDefault="002443F0" w:rsidP="008B6EEB">
      <w:pPr>
        <w:pStyle w:val="ListParagraph"/>
        <w:numPr>
          <w:ilvl w:val="0"/>
          <w:numId w:val="13"/>
        </w:numPr>
        <w:jc w:val="both"/>
        <w:rPr>
          <w:sz w:val="20"/>
          <w:szCs w:val="20"/>
        </w:rPr>
      </w:pPr>
      <w:r w:rsidRPr="00A71BB4">
        <w:rPr>
          <w:sz w:val="20"/>
          <w:szCs w:val="20"/>
        </w:rPr>
        <w:t>FAC is gaining momentum and its traction real. It recently received the following:</w:t>
      </w:r>
    </w:p>
    <w:p w14:paraId="0A3DF05F" w14:textId="63EE1B34" w:rsidR="00AD2793" w:rsidRPr="00A71BB4" w:rsidRDefault="00AD2793" w:rsidP="00A63E74">
      <w:pPr>
        <w:pStyle w:val="ListParagraph"/>
        <w:numPr>
          <w:ilvl w:val="1"/>
          <w:numId w:val="13"/>
        </w:numPr>
        <w:jc w:val="both"/>
        <w:rPr>
          <w:sz w:val="20"/>
          <w:szCs w:val="20"/>
        </w:rPr>
      </w:pPr>
      <w:r w:rsidRPr="00A71BB4">
        <w:rPr>
          <w:sz w:val="20"/>
          <w:szCs w:val="20"/>
        </w:rPr>
        <w:t>Commitment by a leading Fund Manager to launch a real fund with real money in 2020</w:t>
      </w:r>
      <w:r w:rsidR="00206115" w:rsidRPr="00A71BB4">
        <w:rPr>
          <w:sz w:val="20"/>
          <w:szCs w:val="20"/>
        </w:rPr>
        <w:t>.</w:t>
      </w:r>
    </w:p>
    <w:p w14:paraId="053B17F9" w14:textId="31D84A0C" w:rsidR="00AD2793" w:rsidRPr="00A71BB4" w:rsidRDefault="00AD2793" w:rsidP="00A63E74">
      <w:pPr>
        <w:pStyle w:val="ListParagraph"/>
        <w:numPr>
          <w:ilvl w:val="1"/>
          <w:numId w:val="13"/>
        </w:numPr>
        <w:jc w:val="both"/>
        <w:rPr>
          <w:sz w:val="20"/>
          <w:szCs w:val="20"/>
        </w:rPr>
      </w:pPr>
      <w:r w:rsidRPr="00A71BB4">
        <w:rPr>
          <w:sz w:val="20"/>
          <w:szCs w:val="20"/>
        </w:rPr>
        <w:t>Commitment by the Strategic Advisory Group to run a parallel simulation launch of digital funds</w:t>
      </w:r>
      <w:r w:rsidR="00206115" w:rsidRPr="00A71BB4">
        <w:rPr>
          <w:sz w:val="20"/>
          <w:szCs w:val="20"/>
        </w:rPr>
        <w:t>.</w:t>
      </w:r>
    </w:p>
    <w:p w14:paraId="47136C6B" w14:textId="3BDA6AAC" w:rsidR="00AD2793" w:rsidRPr="00A71BB4" w:rsidRDefault="00AD2793" w:rsidP="00A63E74">
      <w:pPr>
        <w:pStyle w:val="ListParagraph"/>
        <w:numPr>
          <w:ilvl w:val="1"/>
          <w:numId w:val="13"/>
        </w:numPr>
        <w:jc w:val="both"/>
        <w:rPr>
          <w:sz w:val="20"/>
          <w:szCs w:val="20"/>
        </w:rPr>
      </w:pPr>
      <w:r w:rsidRPr="00A71BB4">
        <w:rPr>
          <w:sz w:val="20"/>
          <w:szCs w:val="20"/>
        </w:rPr>
        <w:t>Commitment by 2 Global Custodians to join the pilot and service the FAC launched funds</w:t>
      </w:r>
      <w:r w:rsidR="00206115" w:rsidRPr="00A71BB4">
        <w:rPr>
          <w:sz w:val="20"/>
          <w:szCs w:val="20"/>
        </w:rPr>
        <w:t>.</w:t>
      </w:r>
    </w:p>
    <w:p w14:paraId="4F333138" w14:textId="1DC88D0F" w:rsidR="00AD2793" w:rsidRPr="00A71BB4" w:rsidRDefault="00AD2793" w:rsidP="00A63E74">
      <w:pPr>
        <w:pStyle w:val="ListParagraph"/>
        <w:numPr>
          <w:ilvl w:val="1"/>
          <w:numId w:val="13"/>
        </w:numPr>
        <w:jc w:val="both"/>
        <w:rPr>
          <w:sz w:val="20"/>
          <w:szCs w:val="20"/>
        </w:rPr>
      </w:pPr>
      <w:r w:rsidRPr="00A71BB4">
        <w:rPr>
          <w:sz w:val="20"/>
          <w:szCs w:val="20"/>
        </w:rPr>
        <w:t>Requests from major Distributors to join the FAC network (on hold until pilot begins)</w:t>
      </w:r>
      <w:r w:rsidR="00206115" w:rsidRPr="00A71BB4">
        <w:rPr>
          <w:sz w:val="20"/>
          <w:szCs w:val="20"/>
        </w:rPr>
        <w:t>.</w:t>
      </w:r>
    </w:p>
    <w:p w14:paraId="22D74CF9" w14:textId="545729F6" w:rsidR="00B1449C" w:rsidRPr="00D9507E" w:rsidRDefault="00204B70" w:rsidP="00B1449C">
      <w:pPr>
        <w:pStyle w:val="ListParagraph"/>
        <w:numPr>
          <w:ilvl w:val="0"/>
          <w:numId w:val="13"/>
        </w:numPr>
        <w:jc w:val="both"/>
        <w:rPr>
          <w:sz w:val="20"/>
          <w:szCs w:val="20"/>
        </w:rPr>
      </w:pPr>
      <w:r w:rsidRPr="00A71BB4">
        <w:rPr>
          <w:sz w:val="20"/>
          <w:szCs w:val="20"/>
        </w:rPr>
        <w:t xml:space="preserve">FAC’s </w:t>
      </w:r>
      <w:r w:rsidR="00AD2793" w:rsidRPr="00A71BB4">
        <w:rPr>
          <w:sz w:val="20"/>
          <w:szCs w:val="20"/>
        </w:rPr>
        <w:t>commercial model justifies a business case for all parties to drive forward toward production</w:t>
      </w:r>
      <w:r w:rsidR="00206115" w:rsidRPr="00A71BB4">
        <w:rPr>
          <w:sz w:val="20"/>
          <w:szCs w:val="20"/>
        </w:rPr>
        <w:t>.</w:t>
      </w:r>
      <w:r w:rsidR="00B1449C">
        <w:rPr>
          <w:sz w:val="20"/>
          <w:szCs w:val="20"/>
        </w:rPr>
        <w:t xml:space="preserve"> Our f</w:t>
      </w:r>
      <w:r w:rsidR="00B1449C" w:rsidRPr="008B6EEB">
        <w:rPr>
          <w:sz w:val="20"/>
          <w:szCs w:val="20"/>
        </w:rPr>
        <w:t xml:space="preserve">inancial </w:t>
      </w:r>
      <w:r w:rsidR="00B1449C">
        <w:rPr>
          <w:sz w:val="20"/>
          <w:szCs w:val="20"/>
        </w:rPr>
        <w:t>model ensures margins increase, even although revenues decrease for Fund market participants.</w:t>
      </w:r>
    </w:p>
    <w:p w14:paraId="456AD013" w14:textId="77777777" w:rsidR="00B1449C" w:rsidRDefault="00AD2793" w:rsidP="00206115">
      <w:pPr>
        <w:pStyle w:val="ListParagraph"/>
        <w:numPr>
          <w:ilvl w:val="0"/>
          <w:numId w:val="13"/>
        </w:numPr>
        <w:jc w:val="both"/>
        <w:rPr>
          <w:sz w:val="20"/>
          <w:szCs w:val="20"/>
        </w:rPr>
      </w:pPr>
      <w:r w:rsidRPr="00A71BB4">
        <w:rPr>
          <w:sz w:val="20"/>
          <w:szCs w:val="20"/>
        </w:rPr>
        <w:t xml:space="preserve">Strong progress with additional market participants </w:t>
      </w:r>
      <w:r w:rsidR="00D9507E" w:rsidRPr="00A71BB4">
        <w:rPr>
          <w:sz w:val="20"/>
          <w:szCs w:val="20"/>
        </w:rPr>
        <w:t>providi</w:t>
      </w:r>
      <w:r w:rsidR="00D9507E">
        <w:rPr>
          <w:sz w:val="20"/>
          <w:szCs w:val="20"/>
        </w:rPr>
        <w:t>ng</w:t>
      </w:r>
      <w:r w:rsidRPr="00A71BB4">
        <w:rPr>
          <w:sz w:val="20"/>
          <w:szCs w:val="20"/>
        </w:rPr>
        <w:t xml:space="preserve"> key roles to operate the FAC network</w:t>
      </w:r>
      <w:r w:rsidR="00D9507E">
        <w:rPr>
          <w:sz w:val="20"/>
          <w:szCs w:val="20"/>
        </w:rPr>
        <w:t>,</w:t>
      </w:r>
      <w:r w:rsidRPr="00A71BB4">
        <w:rPr>
          <w:sz w:val="20"/>
          <w:szCs w:val="20"/>
        </w:rPr>
        <w:t xml:space="preserve"> including providers of fund services (such as RBC), financial market infrastructure</w:t>
      </w:r>
      <w:r w:rsidR="00204B70" w:rsidRPr="00A71BB4">
        <w:rPr>
          <w:sz w:val="20"/>
          <w:szCs w:val="20"/>
        </w:rPr>
        <w:t>,</w:t>
      </w:r>
      <w:r w:rsidRPr="00A71BB4">
        <w:rPr>
          <w:sz w:val="20"/>
          <w:szCs w:val="20"/>
        </w:rPr>
        <w:t xml:space="preserve"> and clouds services</w:t>
      </w:r>
    </w:p>
    <w:p w14:paraId="015B676E" w14:textId="37E2534A" w:rsidR="00AD2793" w:rsidRPr="00B1449C" w:rsidRDefault="00112E09" w:rsidP="00AD2793">
      <w:pPr>
        <w:pStyle w:val="ListParagraph"/>
        <w:numPr>
          <w:ilvl w:val="0"/>
          <w:numId w:val="13"/>
        </w:numPr>
        <w:jc w:val="both"/>
        <w:rPr>
          <w:sz w:val="20"/>
          <w:szCs w:val="20"/>
        </w:rPr>
      </w:pPr>
      <w:r w:rsidRPr="00B1449C">
        <w:rPr>
          <w:sz w:val="20"/>
          <w:szCs w:val="20"/>
        </w:rPr>
        <w:t xml:space="preserve">FAC are </w:t>
      </w:r>
      <w:r w:rsidR="00B1449C" w:rsidRPr="00B1449C">
        <w:rPr>
          <w:sz w:val="20"/>
          <w:szCs w:val="20"/>
        </w:rPr>
        <w:t xml:space="preserve">selecting an </w:t>
      </w:r>
      <w:r w:rsidR="00F03CA4" w:rsidRPr="00B1449C">
        <w:rPr>
          <w:sz w:val="20"/>
          <w:szCs w:val="20"/>
        </w:rPr>
        <w:t>established market infrastructure partner</w:t>
      </w:r>
      <w:r w:rsidRPr="00B1449C">
        <w:rPr>
          <w:sz w:val="20"/>
          <w:szCs w:val="20"/>
        </w:rPr>
        <w:t xml:space="preserve"> to share in the massive upside potential</w:t>
      </w:r>
      <w:r w:rsidR="00F03CA4" w:rsidRPr="00B1449C">
        <w:rPr>
          <w:sz w:val="20"/>
          <w:szCs w:val="20"/>
        </w:rPr>
        <w:t>.</w:t>
      </w:r>
      <w:r w:rsidR="00B1449C">
        <w:rPr>
          <w:sz w:val="20"/>
          <w:szCs w:val="20"/>
        </w:rPr>
        <w:t xml:space="preserve"> </w:t>
      </w:r>
      <w:r w:rsidR="00F03CA4" w:rsidRPr="00B1449C">
        <w:rPr>
          <w:sz w:val="20"/>
          <w:szCs w:val="20"/>
        </w:rPr>
        <w:t>Our partner must be a proven entity with mature</w:t>
      </w:r>
      <w:r w:rsidR="00E909D8" w:rsidRPr="00B1449C">
        <w:rPr>
          <w:sz w:val="20"/>
          <w:szCs w:val="20"/>
          <w:lang w:val="en-US"/>
        </w:rPr>
        <w:t xml:space="preserve"> infrastructure</w:t>
      </w:r>
      <w:r w:rsidR="00F03CA4" w:rsidRPr="00B1449C">
        <w:rPr>
          <w:sz w:val="20"/>
          <w:szCs w:val="20"/>
        </w:rPr>
        <w:t xml:space="preserve">, including </w:t>
      </w:r>
      <w:r w:rsidR="00F03CA4" w:rsidRPr="00B1449C">
        <w:rPr>
          <w:sz w:val="20"/>
          <w:szCs w:val="20"/>
          <w:lang w:val="en-US"/>
        </w:rPr>
        <w:t>c</w:t>
      </w:r>
      <w:r w:rsidR="00E909D8" w:rsidRPr="00B1449C">
        <w:rPr>
          <w:sz w:val="20"/>
          <w:szCs w:val="20"/>
          <w:lang w:val="en-US"/>
        </w:rPr>
        <w:t xml:space="preserve">ontracts and vendor management relationships </w:t>
      </w:r>
      <w:r w:rsidR="00F03CA4" w:rsidRPr="00B1449C">
        <w:rPr>
          <w:sz w:val="20"/>
          <w:szCs w:val="20"/>
          <w:lang w:val="en-US"/>
        </w:rPr>
        <w:t xml:space="preserve">already </w:t>
      </w:r>
      <w:r w:rsidR="00E909D8" w:rsidRPr="00B1449C">
        <w:rPr>
          <w:sz w:val="20"/>
          <w:szCs w:val="20"/>
          <w:lang w:val="en-US"/>
        </w:rPr>
        <w:t>in place</w:t>
      </w:r>
      <w:r w:rsidR="00E11844">
        <w:rPr>
          <w:sz w:val="20"/>
          <w:szCs w:val="20"/>
          <w:lang w:val="en-US"/>
        </w:rPr>
        <w:t>.</w:t>
      </w:r>
      <w:r w:rsidR="00F03CA4" w:rsidRPr="00B1449C">
        <w:rPr>
          <w:sz w:val="20"/>
          <w:szCs w:val="20"/>
          <w:lang w:val="en-US"/>
        </w:rPr>
        <w:t xml:space="preserve"> </w:t>
      </w:r>
      <w:r w:rsidR="00E11844">
        <w:rPr>
          <w:sz w:val="20"/>
          <w:szCs w:val="20"/>
          <w:lang w:val="en-US"/>
        </w:rPr>
        <w:t xml:space="preserve"> </w:t>
      </w:r>
    </w:p>
    <w:bookmarkEnd w:id="1"/>
    <w:p w14:paraId="0E306DDD" w14:textId="33C0AB55" w:rsidR="00BF5FEE" w:rsidRPr="00A71BB4" w:rsidRDefault="00177713" w:rsidP="00AD2793">
      <w:pPr>
        <w:jc w:val="both"/>
        <w:rPr>
          <w:b/>
          <w:bCs/>
          <w:sz w:val="20"/>
          <w:szCs w:val="20"/>
        </w:rPr>
      </w:pPr>
      <w:r>
        <w:rPr>
          <w:b/>
          <w:bCs/>
          <w:sz w:val="20"/>
          <w:szCs w:val="20"/>
        </w:rPr>
        <w:t>Service Provider Opportunity</w:t>
      </w:r>
    </w:p>
    <w:p w14:paraId="07271084" w14:textId="6ED32522" w:rsidR="00B1449C" w:rsidRDefault="004B2D80" w:rsidP="00B1449C">
      <w:pPr>
        <w:ind w:left="360"/>
        <w:jc w:val="both"/>
        <w:rPr>
          <w:rFonts w:cstheme="minorHAnsi"/>
          <w:sz w:val="20"/>
          <w:szCs w:val="20"/>
        </w:rPr>
      </w:pPr>
      <w:r w:rsidRPr="00B1449C">
        <w:rPr>
          <w:rFonts w:cstheme="minorHAnsi"/>
          <w:sz w:val="20"/>
          <w:szCs w:val="20"/>
        </w:rPr>
        <w:t xml:space="preserve">FAC is currently </w:t>
      </w:r>
      <w:r w:rsidR="00177713">
        <w:rPr>
          <w:rFonts w:cstheme="minorHAnsi"/>
          <w:sz w:val="20"/>
          <w:szCs w:val="20"/>
        </w:rPr>
        <w:t>in discussions with multiple fund market participants on the new service provider roles available on the FAC network</w:t>
      </w:r>
      <w:r w:rsidR="00C0080E">
        <w:rPr>
          <w:rFonts w:cstheme="minorHAnsi"/>
          <w:sz w:val="20"/>
          <w:szCs w:val="20"/>
        </w:rPr>
        <w:t xml:space="preserve"> and would </w:t>
      </w:r>
      <w:r w:rsidR="00C0080E" w:rsidRPr="00A12E90">
        <w:rPr>
          <w:rFonts w:cstheme="minorHAnsi"/>
          <w:b/>
          <w:bCs/>
          <w:sz w:val="20"/>
          <w:szCs w:val="20"/>
        </w:rPr>
        <w:t>welcome further discussions with forward-thinking organisations</w:t>
      </w:r>
      <w:r w:rsidR="00C0080E">
        <w:rPr>
          <w:rFonts w:cstheme="minorHAnsi"/>
          <w:sz w:val="20"/>
          <w:szCs w:val="20"/>
        </w:rPr>
        <w:t>.</w:t>
      </w:r>
    </w:p>
    <w:p w14:paraId="1B1D6DAB" w14:textId="3E61E9B8" w:rsidR="00B06A17" w:rsidRDefault="00177713" w:rsidP="004B2D80">
      <w:pPr>
        <w:pStyle w:val="ListParagraph"/>
        <w:numPr>
          <w:ilvl w:val="0"/>
          <w:numId w:val="13"/>
        </w:numPr>
        <w:jc w:val="both"/>
        <w:rPr>
          <w:sz w:val="20"/>
          <w:szCs w:val="20"/>
        </w:rPr>
      </w:pPr>
      <w:r>
        <w:rPr>
          <w:sz w:val="20"/>
          <w:szCs w:val="20"/>
        </w:rPr>
        <w:t xml:space="preserve">Transfer Agency 2.0 (TA2.0) – while the TA will still operate the fund’s share register and issue and redeem shares on behalf of a fund, all transactions and settlements are tokenised on the network </w:t>
      </w:r>
      <w:r w:rsidR="00B06A17">
        <w:rPr>
          <w:sz w:val="20"/>
          <w:szCs w:val="20"/>
        </w:rPr>
        <w:t>and</w:t>
      </w:r>
      <w:r>
        <w:rPr>
          <w:sz w:val="20"/>
          <w:szCs w:val="20"/>
        </w:rPr>
        <w:t xml:space="preserve"> synchronised </w:t>
      </w:r>
      <w:r w:rsidR="00B06A17">
        <w:rPr>
          <w:sz w:val="20"/>
          <w:szCs w:val="20"/>
        </w:rPr>
        <w:t>in real-time between funds and investors.  As a result, TA2.0 is more focused on client servicing and a fund’s regulatory compliance towards investors, rather than operational processing.</w:t>
      </w:r>
    </w:p>
    <w:p w14:paraId="4D687691" w14:textId="64EB583E" w:rsidR="00B06A17" w:rsidRDefault="00B06A17" w:rsidP="004B2D80">
      <w:pPr>
        <w:pStyle w:val="ListParagraph"/>
        <w:numPr>
          <w:ilvl w:val="0"/>
          <w:numId w:val="13"/>
        </w:numPr>
        <w:jc w:val="both"/>
        <w:rPr>
          <w:sz w:val="20"/>
          <w:szCs w:val="20"/>
        </w:rPr>
      </w:pPr>
      <w:r>
        <w:rPr>
          <w:sz w:val="20"/>
          <w:szCs w:val="20"/>
        </w:rPr>
        <w:t>Digital Investor Custodian – providing key management services to secure investors’ access to the network and digitally sign transactions on the investor’s behalf.</w:t>
      </w:r>
    </w:p>
    <w:p w14:paraId="10FE1711" w14:textId="77777777" w:rsidR="00B06A17" w:rsidRDefault="00B06A17" w:rsidP="004B2D80">
      <w:pPr>
        <w:pStyle w:val="ListParagraph"/>
        <w:numPr>
          <w:ilvl w:val="0"/>
          <w:numId w:val="13"/>
        </w:numPr>
        <w:jc w:val="both"/>
        <w:rPr>
          <w:sz w:val="20"/>
          <w:szCs w:val="20"/>
        </w:rPr>
      </w:pPr>
      <w:r>
        <w:rPr>
          <w:sz w:val="20"/>
          <w:szCs w:val="20"/>
        </w:rPr>
        <w:t>Digital Fund Custodian – providing key management services to secure a fund’s access to the network, enabling the issuance (‘minting’) and redemption (‘burning’) of fund tokens, and digitally signing transactions on the fund’s behalf.</w:t>
      </w:r>
    </w:p>
    <w:p w14:paraId="62AF8B75" w14:textId="7667D664" w:rsidR="00B1449C" w:rsidRDefault="00B06A17" w:rsidP="004B2D80">
      <w:pPr>
        <w:pStyle w:val="ListParagraph"/>
        <w:numPr>
          <w:ilvl w:val="0"/>
          <w:numId w:val="13"/>
        </w:numPr>
        <w:jc w:val="both"/>
        <w:rPr>
          <w:sz w:val="20"/>
          <w:szCs w:val="20"/>
        </w:rPr>
      </w:pPr>
      <w:r>
        <w:rPr>
          <w:sz w:val="20"/>
          <w:szCs w:val="20"/>
        </w:rPr>
        <w:t>Cash Exchange – providing a facility for the receipt and remittance of fiat cash from investors and funds</w:t>
      </w:r>
      <w:r w:rsidR="00C0080E">
        <w:rPr>
          <w:sz w:val="20"/>
          <w:szCs w:val="20"/>
        </w:rPr>
        <w:t xml:space="preserve"> at the entry point to the network (with related AML controls), </w:t>
      </w:r>
      <w:r>
        <w:rPr>
          <w:sz w:val="20"/>
          <w:szCs w:val="20"/>
        </w:rPr>
        <w:t xml:space="preserve">the related conversion of </w:t>
      </w:r>
      <w:r w:rsidR="00C0080E">
        <w:rPr>
          <w:sz w:val="20"/>
          <w:szCs w:val="20"/>
        </w:rPr>
        <w:t>fiat cash to cash tokens</w:t>
      </w:r>
      <w:r>
        <w:rPr>
          <w:sz w:val="20"/>
          <w:szCs w:val="20"/>
        </w:rPr>
        <w:t xml:space="preserve"> </w:t>
      </w:r>
      <w:r w:rsidR="00C0080E">
        <w:rPr>
          <w:sz w:val="20"/>
          <w:szCs w:val="20"/>
        </w:rPr>
        <w:t>and vice-versa</w:t>
      </w:r>
      <w:r>
        <w:rPr>
          <w:sz w:val="20"/>
          <w:szCs w:val="20"/>
        </w:rPr>
        <w:t xml:space="preserve"> </w:t>
      </w:r>
      <w:r w:rsidR="00C0080E">
        <w:rPr>
          <w:sz w:val="20"/>
          <w:szCs w:val="20"/>
        </w:rPr>
        <w:t xml:space="preserve">(‘minting’ and ‘burning’) </w:t>
      </w:r>
      <w:r>
        <w:rPr>
          <w:sz w:val="20"/>
          <w:szCs w:val="20"/>
        </w:rPr>
        <w:t xml:space="preserve">and the </w:t>
      </w:r>
      <w:r w:rsidR="00C0080E">
        <w:rPr>
          <w:sz w:val="20"/>
          <w:szCs w:val="20"/>
        </w:rPr>
        <w:t xml:space="preserve">ongoing tracking of cash token balances vs fiat cash on deposit for each participant.  </w:t>
      </w:r>
      <w:r>
        <w:rPr>
          <w:sz w:val="20"/>
          <w:szCs w:val="20"/>
        </w:rPr>
        <w:t xml:space="preserve">      </w:t>
      </w:r>
    </w:p>
    <w:sectPr w:rsidR="00B1449C" w:rsidSect="00C0080E">
      <w:headerReference w:type="even" r:id="rId9"/>
      <w:headerReference w:type="default" r:id="rId10"/>
      <w:footerReference w:type="even" r:id="rId11"/>
      <w:footerReference w:type="default" r:id="rId12"/>
      <w:headerReference w:type="first" r:id="rId13"/>
      <w:footerReference w:type="first" r:id="rId14"/>
      <w:pgSz w:w="12240" w:h="15840"/>
      <w:pgMar w:top="1247" w:right="964" w:bottom="1247" w:left="964" w:header="709" w:footer="1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2354C" w14:textId="77777777" w:rsidR="000D393B" w:rsidRDefault="000D393B" w:rsidP="00AD2793">
      <w:pPr>
        <w:spacing w:after="0" w:line="240" w:lineRule="auto"/>
      </w:pPr>
      <w:r>
        <w:separator/>
      </w:r>
    </w:p>
  </w:endnote>
  <w:endnote w:type="continuationSeparator" w:id="0">
    <w:p w14:paraId="663DFDEC" w14:textId="77777777" w:rsidR="000D393B" w:rsidRDefault="000D393B" w:rsidP="00AD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51F88" w14:textId="77777777" w:rsidR="00CC1695" w:rsidRDefault="00CC16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08666" w14:textId="77777777" w:rsidR="00E11844" w:rsidRDefault="00E11844">
    <w:pPr>
      <w:pStyle w:val="Footer"/>
      <w:rPr>
        <w:rFonts w:cstheme="minorHAnsi"/>
        <w:sz w:val="21"/>
        <w:szCs w:val="21"/>
      </w:rPr>
    </w:pPr>
  </w:p>
  <w:p w14:paraId="0240E1EF" w14:textId="6522EEFA" w:rsidR="00E11844" w:rsidRDefault="000D393B">
    <w:pPr>
      <w:pStyle w:val="Footer"/>
    </w:pPr>
    <w:hyperlink r:id="rId1" w:history="1">
      <w:r w:rsidR="00E11844" w:rsidRPr="00E11844">
        <w:rPr>
          <w:sz w:val="18"/>
          <w:szCs w:val="18"/>
        </w:rPr>
        <w:t>info@fundadminchain.com</w:t>
      </w:r>
    </w:hyperlink>
    <w:r w:rsidR="00E11844" w:rsidRPr="00E11844">
      <w:rPr>
        <w:rFonts w:cstheme="minorHAnsi"/>
        <w:sz w:val="21"/>
        <w:szCs w:val="21"/>
      </w:rPr>
      <w:tab/>
    </w:r>
    <w:r w:rsidR="00E11844" w:rsidRPr="00E11844">
      <w:rPr>
        <w:rFonts w:cstheme="minorHAnsi"/>
        <w:sz w:val="18"/>
        <w:szCs w:val="18"/>
      </w:rPr>
      <w:t>www.fundadminchain.com</w:t>
    </w:r>
    <w:r w:rsidR="00E11844">
      <w:rPr>
        <w:rFonts w:ascii="Times New Roman" w:hAnsi="Times New Roman"/>
      </w:rPr>
      <w:tab/>
    </w:r>
    <w:r w:rsidR="00E11844" w:rsidRPr="00E11844">
      <w:rPr>
        <w:rFonts w:ascii="Times New Roman" w:hAnsi="Times New Roman"/>
        <w:sz w:val="16"/>
        <w:szCs w:val="16"/>
      </w:rPr>
      <w:t xml:space="preserve">Page </w:t>
    </w:r>
    <w:r w:rsidR="00E11844" w:rsidRPr="00E11844">
      <w:rPr>
        <w:rFonts w:ascii="Times New Roman" w:hAnsi="Times New Roman"/>
        <w:sz w:val="16"/>
        <w:szCs w:val="16"/>
      </w:rPr>
      <w:fldChar w:fldCharType="begin"/>
    </w:r>
    <w:r w:rsidR="00E11844" w:rsidRPr="00E11844">
      <w:rPr>
        <w:rFonts w:ascii="Times New Roman" w:hAnsi="Times New Roman"/>
        <w:sz w:val="16"/>
        <w:szCs w:val="16"/>
      </w:rPr>
      <w:instrText xml:space="preserve"> PAGE </w:instrText>
    </w:r>
    <w:r w:rsidR="00E11844" w:rsidRPr="00E11844">
      <w:rPr>
        <w:rFonts w:ascii="Times New Roman" w:hAnsi="Times New Roman"/>
        <w:sz w:val="16"/>
        <w:szCs w:val="16"/>
      </w:rPr>
      <w:fldChar w:fldCharType="separate"/>
    </w:r>
    <w:r w:rsidR="00E11844" w:rsidRPr="00E11844">
      <w:rPr>
        <w:rFonts w:ascii="Times New Roman" w:hAnsi="Times New Roman"/>
        <w:noProof/>
        <w:sz w:val="16"/>
        <w:szCs w:val="16"/>
      </w:rPr>
      <w:t>1</w:t>
    </w:r>
    <w:r w:rsidR="00E11844" w:rsidRPr="00E11844">
      <w:rPr>
        <w:rFonts w:ascii="Times New Roman" w:hAnsi="Times New Roman"/>
        <w:sz w:val="16"/>
        <w:szCs w:val="16"/>
      </w:rPr>
      <w:fldChar w:fldCharType="end"/>
    </w:r>
    <w:r w:rsidR="00E11844" w:rsidRPr="00E11844">
      <w:rPr>
        <w:rFonts w:ascii="Times New Roman" w:hAnsi="Times New Roman"/>
        <w:sz w:val="16"/>
        <w:szCs w:val="16"/>
      </w:rPr>
      <w:t xml:space="preserve"> of </w:t>
    </w:r>
    <w:r w:rsidR="00E11844" w:rsidRPr="00E11844">
      <w:rPr>
        <w:rFonts w:ascii="Times New Roman" w:hAnsi="Times New Roman"/>
        <w:sz w:val="16"/>
        <w:szCs w:val="16"/>
      </w:rPr>
      <w:fldChar w:fldCharType="begin"/>
    </w:r>
    <w:r w:rsidR="00E11844" w:rsidRPr="00E11844">
      <w:rPr>
        <w:rFonts w:ascii="Times New Roman" w:hAnsi="Times New Roman"/>
        <w:sz w:val="16"/>
        <w:szCs w:val="16"/>
      </w:rPr>
      <w:instrText xml:space="preserve"> NUMPAGES </w:instrText>
    </w:r>
    <w:r w:rsidR="00E11844" w:rsidRPr="00E11844">
      <w:rPr>
        <w:rFonts w:ascii="Times New Roman" w:hAnsi="Times New Roman"/>
        <w:sz w:val="16"/>
        <w:szCs w:val="16"/>
      </w:rPr>
      <w:fldChar w:fldCharType="separate"/>
    </w:r>
    <w:r w:rsidR="00E11844" w:rsidRPr="00E11844">
      <w:rPr>
        <w:rFonts w:ascii="Times New Roman" w:hAnsi="Times New Roman"/>
        <w:noProof/>
        <w:sz w:val="16"/>
        <w:szCs w:val="16"/>
      </w:rPr>
      <w:t>3</w:t>
    </w:r>
    <w:r w:rsidR="00E11844" w:rsidRPr="00E11844">
      <w:rPr>
        <w:rFonts w:ascii="Times New Roman" w:hAnsi="Times New Roman"/>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F7C8D" w14:textId="77777777" w:rsidR="00CC1695" w:rsidRDefault="00CC1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F38C7" w14:textId="77777777" w:rsidR="000D393B" w:rsidRDefault="000D393B" w:rsidP="00AD2793">
      <w:pPr>
        <w:spacing w:after="0" w:line="240" w:lineRule="auto"/>
      </w:pPr>
      <w:r>
        <w:separator/>
      </w:r>
    </w:p>
  </w:footnote>
  <w:footnote w:type="continuationSeparator" w:id="0">
    <w:p w14:paraId="1EE70F3A" w14:textId="77777777" w:rsidR="000D393B" w:rsidRDefault="000D393B" w:rsidP="00AD2793">
      <w:pPr>
        <w:spacing w:after="0" w:line="240" w:lineRule="auto"/>
      </w:pPr>
      <w:r>
        <w:continuationSeparator/>
      </w:r>
    </w:p>
  </w:footnote>
  <w:footnote w:id="1">
    <w:p w14:paraId="64DDF253" w14:textId="77777777" w:rsidR="0062410E" w:rsidRDefault="0062410E" w:rsidP="0062410E">
      <w:pPr>
        <w:pStyle w:val="FootnoteText"/>
      </w:pPr>
      <w:r>
        <w:rPr>
          <w:rStyle w:val="FootnoteReference"/>
        </w:rPr>
        <w:footnoteRef/>
      </w:r>
      <w:r>
        <w:t xml:space="preserve"> </w:t>
      </w:r>
      <w:r w:rsidRPr="00D252C8">
        <w:rPr>
          <w:sz w:val="18"/>
          <w:szCs w:val="18"/>
        </w:rPr>
        <w:t xml:space="preserve">Accenture - </w:t>
      </w:r>
      <w:hyperlink r:id="rId1" w:history="1">
        <w:r w:rsidRPr="00D252C8">
          <w:rPr>
            <w:rStyle w:val="Hyperlink"/>
            <w:sz w:val="18"/>
            <w:szCs w:val="18"/>
          </w:rPr>
          <w:t>Capital Markets Vision 2022</w:t>
        </w:r>
      </w:hyperlink>
      <w:r w:rsidRPr="00D252C8">
        <w:rPr>
          <w:sz w:val="18"/>
          <w:szCs w:val="18"/>
        </w:rPr>
        <w:t xml:space="preserve"> &amp; Deloitte – </w:t>
      </w:r>
      <w:hyperlink r:id="rId2" w:history="1">
        <w:r w:rsidRPr="00D252C8">
          <w:rPr>
            <w:rStyle w:val="Hyperlink"/>
            <w:sz w:val="18"/>
            <w:szCs w:val="18"/>
          </w:rPr>
          <w:t>Impact of Blockchain on Fund Distribution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AB453" w14:textId="77777777" w:rsidR="00CC1695" w:rsidRDefault="00CC16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292F8" w14:textId="0C119172" w:rsidR="00AD2793" w:rsidRDefault="00E11844">
    <w:pPr>
      <w:pStyle w:val="Header"/>
    </w:pPr>
    <w:r w:rsidRPr="00CF67AE">
      <w:rPr>
        <w:noProof/>
      </w:rPr>
      <w:drawing>
        <wp:anchor distT="0" distB="0" distL="114300" distR="114300" simplePos="0" relativeHeight="251659264" behindDoc="0" locked="0" layoutInCell="1" allowOverlap="1" wp14:anchorId="742BFD1E" wp14:editId="19056ACE">
          <wp:simplePos x="0" y="0"/>
          <wp:positionH relativeFrom="column">
            <wp:posOffset>5807075</wp:posOffset>
          </wp:positionH>
          <wp:positionV relativeFrom="paragraph">
            <wp:posOffset>-488315</wp:posOffset>
          </wp:positionV>
          <wp:extent cx="1014095" cy="1014095"/>
          <wp:effectExtent l="0" t="0" r="1905" b="1905"/>
          <wp:wrapSquare wrapText="bothSides"/>
          <wp:docPr id="1" name="Picture 1" descr="A picture containing drawing&#10;&#10;Description automatically generated">
            <a:extLst xmlns:a="http://schemas.openxmlformats.org/drawingml/2006/main">
              <a:ext uri="{FF2B5EF4-FFF2-40B4-BE49-F238E27FC236}">
                <a16:creationId xmlns:a16="http://schemas.microsoft.com/office/drawing/2014/main" id="{CB1B633A-021E-4853-8E0E-091148CEF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B1B633A-021E-4853-8E0E-091148CEF30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4095" cy="101409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30231" w14:textId="53FB86CB" w:rsidR="00E11844" w:rsidRDefault="00E11844">
    <w:pPr>
      <w:pStyle w:val="Header"/>
    </w:pPr>
    <w:r w:rsidRPr="00CF67AE">
      <w:rPr>
        <w:noProof/>
      </w:rPr>
      <w:drawing>
        <wp:anchor distT="0" distB="0" distL="114300" distR="114300" simplePos="0" relativeHeight="251665408" behindDoc="0" locked="0" layoutInCell="1" allowOverlap="1" wp14:anchorId="2B8E3913" wp14:editId="736F08F0">
          <wp:simplePos x="0" y="0"/>
          <wp:positionH relativeFrom="column">
            <wp:posOffset>5824220</wp:posOffset>
          </wp:positionH>
          <wp:positionV relativeFrom="paragraph">
            <wp:posOffset>-447324</wp:posOffset>
          </wp:positionV>
          <wp:extent cx="1014095" cy="1014095"/>
          <wp:effectExtent l="0" t="0" r="1905" b="1905"/>
          <wp:wrapSquare wrapText="bothSides"/>
          <wp:docPr id="3" name="Picture 3" descr="A picture containing drawing&#10;&#10;Description automatically generated">
            <a:extLst xmlns:a="http://schemas.openxmlformats.org/drawingml/2006/main">
              <a:ext uri="{FF2B5EF4-FFF2-40B4-BE49-F238E27FC236}">
                <a16:creationId xmlns:a16="http://schemas.microsoft.com/office/drawing/2014/main" id="{CB1B633A-021E-4853-8E0E-091148CEF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B1B633A-021E-4853-8E0E-091148CEF30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4095" cy="10140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64DE"/>
    <w:multiLevelType w:val="hybridMultilevel"/>
    <w:tmpl w:val="D0B40D34"/>
    <w:lvl w:ilvl="0" w:tplc="0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7816C1"/>
    <w:multiLevelType w:val="hybridMultilevel"/>
    <w:tmpl w:val="2FC620F4"/>
    <w:lvl w:ilvl="0" w:tplc="B79C84B0">
      <w:start w:val="1"/>
      <w:numFmt w:val="bullet"/>
      <w:lvlText w:val="•"/>
      <w:lvlJc w:val="left"/>
      <w:pPr>
        <w:tabs>
          <w:tab w:val="num" w:pos="720"/>
        </w:tabs>
        <w:ind w:left="720" w:hanging="360"/>
      </w:pPr>
      <w:rPr>
        <w:rFonts w:ascii="Arial" w:hAnsi="Arial" w:hint="default"/>
      </w:rPr>
    </w:lvl>
    <w:lvl w:ilvl="1" w:tplc="E05CACB0" w:tentative="1">
      <w:start w:val="1"/>
      <w:numFmt w:val="bullet"/>
      <w:lvlText w:val="•"/>
      <w:lvlJc w:val="left"/>
      <w:pPr>
        <w:tabs>
          <w:tab w:val="num" w:pos="1440"/>
        </w:tabs>
        <w:ind w:left="1440" w:hanging="360"/>
      </w:pPr>
      <w:rPr>
        <w:rFonts w:ascii="Arial" w:hAnsi="Arial" w:hint="default"/>
      </w:rPr>
    </w:lvl>
    <w:lvl w:ilvl="2" w:tplc="5D32CB42" w:tentative="1">
      <w:start w:val="1"/>
      <w:numFmt w:val="bullet"/>
      <w:lvlText w:val="•"/>
      <w:lvlJc w:val="left"/>
      <w:pPr>
        <w:tabs>
          <w:tab w:val="num" w:pos="2160"/>
        </w:tabs>
        <w:ind w:left="2160" w:hanging="360"/>
      </w:pPr>
      <w:rPr>
        <w:rFonts w:ascii="Arial" w:hAnsi="Arial" w:hint="default"/>
      </w:rPr>
    </w:lvl>
    <w:lvl w:ilvl="3" w:tplc="285A8EAA" w:tentative="1">
      <w:start w:val="1"/>
      <w:numFmt w:val="bullet"/>
      <w:lvlText w:val="•"/>
      <w:lvlJc w:val="left"/>
      <w:pPr>
        <w:tabs>
          <w:tab w:val="num" w:pos="2880"/>
        </w:tabs>
        <w:ind w:left="2880" w:hanging="360"/>
      </w:pPr>
      <w:rPr>
        <w:rFonts w:ascii="Arial" w:hAnsi="Arial" w:hint="default"/>
      </w:rPr>
    </w:lvl>
    <w:lvl w:ilvl="4" w:tplc="968AA472" w:tentative="1">
      <w:start w:val="1"/>
      <w:numFmt w:val="bullet"/>
      <w:lvlText w:val="•"/>
      <w:lvlJc w:val="left"/>
      <w:pPr>
        <w:tabs>
          <w:tab w:val="num" w:pos="3600"/>
        </w:tabs>
        <w:ind w:left="3600" w:hanging="360"/>
      </w:pPr>
      <w:rPr>
        <w:rFonts w:ascii="Arial" w:hAnsi="Arial" w:hint="default"/>
      </w:rPr>
    </w:lvl>
    <w:lvl w:ilvl="5" w:tplc="541ACA1C" w:tentative="1">
      <w:start w:val="1"/>
      <w:numFmt w:val="bullet"/>
      <w:lvlText w:val="•"/>
      <w:lvlJc w:val="left"/>
      <w:pPr>
        <w:tabs>
          <w:tab w:val="num" w:pos="4320"/>
        </w:tabs>
        <w:ind w:left="4320" w:hanging="360"/>
      </w:pPr>
      <w:rPr>
        <w:rFonts w:ascii="Arial" w:hAnsi="Arial" w:hint="default"/>
      </w:rPr>
    </w:lvl>
    <w:lvl w:ilvl="6" w:tplc="20C0C794" w:tentative="1">
      <w:start w:val="1"/>
      <w:numFmt w:val="bullet"/>
      <w:lvlText w:val="•"/>
      <w:lvlJc w:val="left"/>
      <w:pPr>
        <w:tabs>
          <w:tab w:val="num" w:pos="5040"/>
        </w:tabs>
        <w:ind w:left="5040" w:hanging="360"/>
      </w:pPr>
      <w:rPr>
        <w:rFonts w:ascii="Arial" w:hAnsi="Arial" w:hint="default"/>
      </w:rPr>
    </w:lvl>
    <w:lvl w:ilvl="7" w:tplc="EF123A0C" w:tentative="1">
      <w:start w:val="1"/>
      <w:numFmt w:val="bullet"/>
      <w:lvlText w:val="•"/>
      <w:lvlJc w:val="left"/>
      <w:pPr>
        <w:tabs>
          <w:tab w:val="num" w:pos="5760"/>
        </w:tabs>
        <w:ind w:left="5760" w:hanging="360"/>
      </w:pPr>
      <w:rPr>
        <w:rFonts w:ascii="Arial" w:hAnsi="Arial" w:hint="default"/>
      </w:rPr>
    </w:lvl>
    <w:lvl w:ilvl="8" w:tplc="3DDED9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0701F5"/>
    <w:multiLevelType w:val="hybridMultilevel"/>
    <w:tmpl w:val="99DC30C0"/>
    <w:lvl w:ilvl="0" w:tplc="87428396">
      <w:start w:val="1"/>
      <w:numFmt w:val="bullet"/>
      <w:lvlText w:val="•"/>
      <w:lvlJc w:val="left"/>
      <w:pPr>
        <w:tabs>
          <w:tab w:val="num" w:pos="720"/>
        </w:tabs>
        <w:ind w:left="720" w:hanging="360"/>
      </w:pPr>
      <w:rPr>
        <w:rFonts w:ascii="Arial" w:hAnsi="Arial" w:hint="default"/>
      </w:rPr>
    </w:lvl>
    <w:lvl w:ilvl="1" w:tplc="7CEE202A" w:tentative="1">
      <w:start w:val="1"/>
      <w:numFmt w:val="bullet"/>
      <w:lvlText w:val="•"/>
      <w:lvlJc w:val="left"/>
      <w:pPr>
        <w:tabs>
          <w:tab w:val="num" w:pos="1440"/>
        </w:tabs>
        <w:ind w:left="1440" w:hanging="360"/>
      </w:pPr>
      <w:rPr>
        <w:rFonts w:ascii="Arial" w:hAnsi="Arial" w:hint="default"/>
      </w:rPr>
    </w:lvl>
    <w:lvl w:ilvl="2" w:tplc="612EBF9C" w:tentative="1">
      <w:start w:val="1"/>
      <w:numFmt w:val="bullet"/>
      <w:lvlText w:val="•"/>
      <w:lvlJc w:val="left"/>
      <w:pPr>
        <w:tabs>
          <w:tab w:val="num" w:pos="2160"/>
        </w:tabs>
        <w:ind w:left="2160" w:hanging="360"/>
      </w:pPr>
      <w:rPr>
        <w:rFonts w:ascii="Arial" w:hAnsi="Arial" w:hint="default"/>
      </w:rPr>
    </w:lvl>
    <w:lvl w:ilvl="3" w:tplc="4FDAF278">
      <w:start w:val="1"/>
      <w:numFmt w:val="bullet"/>
      <w:lvlText w:val="•"/>
      <w:lvlJc w:val="left"/>
      <w:pPr>
        <w:tabs>
          <w:tab w:val="num" w:pos="2880"/>
        </w:tabs>
        <w:ind w:left="2880" w:hanging="360"/>
      </w:pPr>
      <w:rPr>
        <w:rFonts w:ascii="Arial" w:hAnsi="Arial" w:hint="default"/>
      </w:rPr>
    </w:lvl>
    <w:lvl w:ilvl="4" w:tplc="A040558E" w:tentative="1">
      <w:start w:val="1"/>
      <w:numFmt w:val="bullet"/>
      <w:lvlText w:val="•"/>
      <w:lvlJc w:val="left"/>
      <w:pPr>
        <w:tabs>
          <w:tab w:val="num" w:pos="3600"/>
        </w:tabs>
        <w:ind w:left="3600" w:hanging="360"/>
      </w:pPr>
      <w:rPr>
        <w:rFonts w:ascii="Arial" w:hAnsi="Arial" w:hint="default"/>
      </w:rPr>
    </w:lvl>
    <w:lvl w:ilvl="5" w:tplc="C2E8E9F8" w:tentative="1">
      <w:start w:val="1"/>
      <w:numFmt w:val="bullet"/>
      <w:lvlText w:val="•"/>
      <w:lvlJc w:val="left"/>
      <w:pPr>
        <w:tabs>
          <w:tab w:val="num" w:pos="4320"/>
        </w:tabs>
        <w:ind w:left="4320" w:hanging="360"/>
      </w:pPr>
      <w:rPr>
        <w:rFonts w:ascii="Arial" w:hAnsi="Arial" w:hint="default"/>
      </w:rPr>
    </w:lvl>
    <w:lvl w:ilvl="6" w:tplc="53CE934E" w:tentative="1">
      <w:start w:val="1"/>
      <w:numFmt w:val="bullet"/>
      <w:lvlText w:val="•"/>
      <w:lvlJc w:val="left"/>
      <w:pPr>
        <w:tabs>
          <w:tab w:val="num" w:pos="5040"/>
        </w:tabs>
        <w:ind w:left="5040" w:hanging="360"/>
      </w:pPr>
      <w:rPr>
        <w:rFonts w:ascii="Arial" w:hAnsi="Arial" w:hint="default"/>
      </w:rPr>
    </w:lvl>
    <w:lvl w:ilvl="7" w:tplc="C4EC1DB4" w:tentative="1">
      <w:start w:val="1"/>
      <w:numFmt w:val="bullet"/>
      <w:lvlText w:val="•"/>
      <w:lvlJc w:val="left"/>
      <w:pPr>
        <w:tabs>
          <w:tab w:val="num" w:pos="5760"/>
        </w:tabs>
        <w:ind w:left="5760" w:hanging="360"/>
      </w:pPr>
      <w:rPr>
        <w:rFonts w:ascii="Arial" w:hAnsi="Arial" w:hint="default"/>
      </w:rPr>
    </w:lvl>
    <w:lvl w:ilvl="8" w:tplc="002268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645EF0"/>
    <w:multiLevelType w:val="hybridMultilevel"/>
    <w:tmpl w:val="D402E67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300057"/>
    <w:multiLevelType w:val="hybridMultilevel"/>
    <w:tmpl w:val="832824DE"/>
    <w:lvl w:ilvl="0" w:tplc="A8880A92">
      <w:start w:val="1"/>
      <w:numFmt w:val="bullet"/>
      <w:lvlText w:val="-"/>
      <w:lvlJc w:val="left"/>
      <w:pPr>
        <w:tabs>
          <w:tab w:val="num" w:pos="720"/>
        </w:tabs>
        <w:ind w:left="720" w:hanging="360"/>
      </w:pPr>
      <w:rPr>
        <w:rFonts w:ascii="Times New Roman" w:hAnsi="Times New Roman" w:hint="default"/>
      </w:rPr>
    </w:lvl>
    <w:lvl w:ilvl="1" w:tplc="C62AEE52" w:tentative="1">
      <w:start w:val="1"/>
      <w:numFmt w:val="bullet"/>
      <w:lvlText w:val="-"/>
      <w:lvlJc w:val="left"/>
      <w:pPr>
        <w:tabs>
          <w:tab w:val="num" w:pos="1440"/>
        </w:tabs>
        <w:ind w:left="1440" w:hanging="360"/>
      </w:pPr>
      <w:rPr>
        <w:rFonts w:ascii="Times New Roman" w:hAnsi="Times New Roman" w:hint="default"/>
      </w:rPr>
    </w:lvl>
    <w:lvl w:ilvl="2" w:tplc="44560C80" w:tentative="1">
      <w:start w:val="1"/>
      <w:numFmt w:val="bullet"/>
      <w:lvlText w:val="-"/>
      <w:lvlJc w:val="left"/>
      <w:pPr>
        <w:tabs>
          <w:tab w:val="num" w:pos="2160"/>
        </w:tabs>
        <w:ind w:left="2160" w:hanging="360"/>
      </w:pPr>
      <w:rPr>
        <w:rFonts w:ascii="Times New Roman" w:hAnsi="Times New Roman" w:hint="default"/>
      </w:rPr>
    </w:lvl>
    <w:lvl w:ilvl="3" w:tplc="F8184072" w:tentative="1">
      <w:start w:val="1"/>
      <w:numFmt w:val="bullet"/>
      <w:lvlText w:val="-"/>
      <w:lvlJc w:val="left"/>
      <w:pPr>
        <w:tabs>
          <w:tab w:val="num" w:pos="2880"/>
        </w:tabs>
        <w:ind w:left="2880" w:hanging="360"/>
      </w:pPr>
      <w:rPr>
        <w:rFonts w:ascii="Times New Roman" w:hAnsi="Times New Roman" w:hint="default"/>
      </w:rPr>
    </w:lvl>
    <w:lvl w:ilvl="4" w:tplc="E9A28BA2" w:tentative="1">
      <w:start w:val="1"/>
      <w:numFmt w:val="bullet"/>
      <w:lvlText w:val="-"/>
      <w:lvlJc w:val="left"/>
      <w:pPr>
        <w:tabs>
          <w:tab w:val="num" w:pos="3600"/>
        </w:tabs>
        <w:ind w:left="3600" w:hanging="360"/>
      </w:pPr>
      <w:rPr>
        <w:rFonts w:ascii="Times New Roman" w:hAnsi="Times New Roman" w:hint="default"/>
      </w:rPr>
    </w:lvl>
    <w:lvl w:ilvl="5" w:tplc="55B444B8" w:tentative="1">
      <w:start w:val="1"/>
      <w:numFmt w:val="bullet"/>
      <w:lvlText w:val="-"/>
      <w:lvlJc w:val="left"/>
      <w:pPr>
        <w:tabs>
          <w:tab w:val="num" w:pos="4320"/>
        </w:tabs>
        <w:ind w:left="4320" w:hanging="360"/>
      </w:pPr>
      <w:rPr>
        <w:rFonts w:ascii="Times New Roman" w:hAnsi="Times New Roman" w:hint="default"/>
      </w:rPr>
    </w:lvl>
    <w:lvl w:ilvl="6" w:tplc="B2EEEA0C" w:tentative="1">
      <w:start w:val="1"/>
      <w:numFmt w:val="bullet"/>
      <w:lvlText w:val="-"/>
      <w:lvlJc w:val="left"/>
      <w:pPr>
        <w:tabs>
          <w:tab w:val="num" w:pos="5040"/>
        </w:tabs>
        <w:ind w:left="5040" w:hanging="360"/>
      </w:pPr>
      <w:rPr>
        <w:rFonts w:ascii="Times New Roman" w:hAnsi="Times New Roman" w:hint="default"/>
      </w:rPr>
    </w:lvl>
    <w:lvl w:ilvl="7" w:tplc="57DE3BDC" w:tentative="1">
      <w:start w:val="1"/>
      <w:numFmt w:val="bullet"/>
      <w:lvlText w:val="-"/>
      <w:lvlJc w:val="left"/>
      <w:pPr>
        <w:tabs>
          <w:tab w:val="num" w:pos="5760"/>
        </w:tabs>
        <w:ind w:left="5760" w:hanging="360"/>
      </w:pPr>
      <w:rPr>
        <w:rFonts w:ascii="Times New Roman" w:hAnsi="Times New Roman" w:hint="default"/>
      </w:rPr>
    </w:lvl>
    <w:lvl w:ilvl="8" w:tplc="EC061FA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84636FB"/>
    <w:multiLevelType w:val="hybridMultilevel"/>
    <w:tmpl w:val="F2A0A46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CB65A4"/>
    <w:multiLevelType w:val="hybridMultilevel"/>
    <w:tmpl w:val="54D4B8DA"/>
    <w:lvl w:ilvl="0" w:tplc="30CA0D94">
      <w:start w:val="1"/>
      <w:numFmt w:val="decimal"/>
      <w:pStyle w:val="Heading1"/>
      <w:lvlText w:val="%1."/>
      <w:lvlJc w:val="left"/>
      <w:pPr>
        <w:ind w:left="360" w:hanging="360"/>
      </w:pPr>
      <w:rPr>
        <w:rFonts w:hint="default"/>
      </w:rPr>
    </w:lvl>
    <w:lvl w:ilvl="1" w:tplc="E5AC7F9A">
      <w:numFmt w:val="bullet"/>
      <w:lvlText w:val="-"/>
      <w:lvlJc w:val="left"/>
      <w:pPr>
        <w:ind w:left="1080" w:hanging="360"/>
      </w:pPr>
      <w:rPr>
        <w:rFonts w:ascii="Calibri" w:eastAsiaTheme="minorHAnsi" w:hAnsi="Calibri" w:cs="Calibri" w:hint="default"/>
      </w:rPr>
    </w:lvl>
    <w:lvl w:ilvl="2" w:tplc="0809001B" w:tentative="1">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6B15BFB"/>
    <w:multiLevelType w:val="hybridMultilevel"/>
    <w:tmpl w:val="0D5C0088"/>
    <w:lvl w:ilvl="0" w:tplc="E460C408">
      <w:start w:val="1"/>
      <w:numFmt w:val="bullet"/>
      <w:lvlText w:val="•"/>
      <w:lvlJc w:val="left"/>
      <w:pPr>
        <w:tabs>
          <w:tab w:val="num" w:pos="720"/>
        </w:tabs>
        <w:ind w:left="720" w:hanging="360"/>
      </w:pPr>
      <w:rPr>
        <w:rFonts w:ascii="Arial" w:hAnsi="Arial" w:hint="default"/>
      </w:rPr>
    </w:lvl>
    <w:lvl w:ilvl="1" w:tplc="E6C4A91C" w:tentative="1">
      <w:start w:val="1"/>
      <w:numFmt w:val="bullet"/>
      <w:lvlText w:val="•"/>
      <w:lvlJc w:val="left"/>
      <w:pPr>
        <w:tabs>
          <w:tab w:val="num" w:pos="1440"/>
        </w:tabs>
        <w:ind w:left="1440" w:hanging="360"/>
      </w:pPr>
      <w:rPr>
        <w:rFonts w:ascii="Arial" w:hAnsi="Arial" w:hint="default"/>
      </w:rPr>
    </w:lvl>
    <w:lvl w:ilvl="2" w:tplc="3EE411F2" w:tentative="1">
      <w:start w:val="1"/>
      <w:numFmt w:val="bullet"/>
      <w:lvlText w:val="•"/>
      <w:lvlJc w:val="left"/>
      <w:pPr>
        <w:tabs>
          <w:tab w:val="num" w:pos="2160"/>
        </w:tabs>
        <w:ind w:left="2160" w:hanging="360"/>
      </w:pPr>
      <w:rPr>
        <w:rFonts w:ascii="Arial" w:hAnsi="Arial" w:hint="default"/>
      </w:rPr>
    </w:lvl>
    <w:lvl w:ilvl="3" w:tplc="F35CC82E" w:tentative="1">
      <w:start w:val="1"/>
      <w:numFmt w:val="bullet"/>
      <w:lvlText w:val="•"/>
      <w:lvlJc w:val="left"/>
      <w:pPr>
        <w:tabs>
          <w:tab w:val="num" w:pos="2880"/>
        </w:tabs>
        <w:ind w:left="2880" w:hanging="360"/>
      </w:pPr>
      <w:rPr>
        <w:rFonts w:ascii="Arial" w:hAnsi="Arial" w:hint="default"/>
      </w:rPr>
    </w:lvl>
    <w:lvl w:ilvl="4" w:tplc="376A2686" w:tentative="1">
      <w:start w:val="1"/>
      <w:numFmt w:val="bullet"/>
      <w:lvlText w:val="•"/>
      <w:lvlJc w:val="left"/>
      <w:pPr>
        <w:tabs>
          <w:tab w:val="num" w:pos="3600"/>
        </w:tabs>
        <w:ind w:left="3600" w:hanging="360"/>
      </w:pPr>
      <w:rPr>
        <w:rFonts w:ascii="Arial" w:hAnsi="Arial" w:hint="default"/>
      </w:rPr>
    </w:lvl>
    <w:lvl w:ilvl="5" w:tplc="4F0A8616" w:tentative="1">
      <w:start w:val="1"/>
      <w:numFmt w:val="bullet"/>
      <w:lvlText w:val="•"/>
      <w:lvlJc w:val="left"/>
      <w:pPr>
        <w:tabs>
          <w:tab w:val="num" w:pos="4320"/>
        </w:tabs>
        <w:ind w:left="4320" w:hanging="360"/>
      </w:pPr>
      <w:rPr>
        <w:rFonts w:ascii="Arial" w:hAnsi="Arial" w:hint="default"/>
      </w:rPr>
    </w:lvl>
    <w:lvl w:ilvl="6" w:tplc="631CC124" w:tentative="1">
      <w:start w:val="1"/>
      <w:numFmt w:val="bullet"/>
      <w:lvlText w:val="•"/>
      <w:lvlJc w:val="left"/>
      <w:pPr>
        <w:tabs>
          <w:tab w:val="num" w:pos="5040"/>
        </w:tabs>
        <w:ind w:left="5040" w:hanging="360"/>
      </w:pPr>
      <w:rPr>
        <w:rFonts w:ascii="Arial" w:hAnsi="Arial" w:hint="default"/>
      </w:rPr>
    </w:lvl>
    <w:lvl w:ilvl="7" w:tplc="11506EB2" w:tentative="1">
      <w:start w:val="1"/>
      <w:numFmt w:val="bullet"/>
      <w:lvlText w:val="•"/>
      <w:lvlJc w:val="left"/>
      <w:pPr>
        <w:tabs>
          <w:tab w:val="num" w:pos="5760"/>
        </w:tabs>
        <w:ind w:left="5760" w:hanging="360"/>
      </w:pPr>
      <w:rPr>
        <w:rFonts w:ascii="Arial" w:hAnsi="Arial" w:hint="default"/>
      </w:rPr>
    </w:lvl>
    <w:lvl w:ilvl="8" w:tplc="0B0A01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5A51F6"/>
    <w:multiLevelType w:val="hybridMultilevel"/>
    <w:tmpl w:val="09FC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57096C"/>
    <w:multiLevelType w:val="hybridMultilevel"/>
    <w:tmpl w:val="3AAEA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407C70"/>
    <w:multiLevelType w:val="hybridMultilevel"/>
    <w:tmpl w:val="A0F452B8"/>
    <w:lvl w:ilvl="0" w:tplc="B79C84B0">
      <w:start w:val="1"/>
      <w:numFmt w:val="bullet"/>
      <w:lvlText w:val="•"/>
      <w:lvlJc w:val="left"/>
      <w:pPr>
        <w:ind w:left="720" w:hanging="360"/>
      </w:pPr>
      <w:rPr>
        <w:rFonts w:ascii="Arial" w:hAnsi="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00825EF"/>
    <w:multiLevelType w:val="hybridMultilevel"/>
    <w:tmpl w:val="F8186372"/>
    <w:lvl w:ilvl="0" w:tplc="982E9E42">
      <w:start w:val="1"/>
      <w:numFmt w:val="bullet"/>
      <w:lvlText w:val="•"/>
      <w:lvlJc w:val="left"/>
      <w:pPr>
        <w:tabs>
          <w:tab w:val="num" w:pos="720"/>
        </w:tabs>
        <w:ind w:left="720" w:hanging="360"/>
      </w:pPr>
      <w:rPr>
        <w:rFonts w:ascii="Arial" w:hAnsi="Arial" w:hint="default"/>
      </w:rPr>
    </w:lvl>
    <w:lvl w:ilvl="1" w:tplc="C35AEC94">
      <w:start w:val="1"/>
      <w:numFmt w:val="bullet"/>
      <w:lvlText w:val="•"/>
      <w:lvlJc w:val="left"/>
      <w:pPr>
        <w:tabs>
          <w:tab w:val="num" w:pos="1440"/>
        </w:tabs>
        <w:ind w:left="1440" w:hanging="360"/>
      </w:pPr>
      <w:rPr>
        <w:rFonts w:ascii="Arial" w:hAnsi="Arial" w:hint="default"/>
      </w:rPr>
    </w:lvl>
    <w:lvl w:ilvl="2" w:tplc="73DE972A" w:tentative="1">
      <w:start w:val="1"/>
      <w:numFmt w:val="bullet"/>
      <w:lvlText w:val="•"/>
      <w:lvlJc w:val="left"/>
      <w:pPr>
        <w:tabs>
          <w:tab w:val="num" w:pos="2160"/>
        </w:tabs>
        <w:ind w:left="2160" w:hanging="360"/>
      </w:pPr>
      <w:rPr>
        <w:rFonts w:ascii="Arial" w:hAnsi="Arial" w:hint="default"/>
      </w:rPr>
    </w:lvl>
    <w:lvl w:ilvl="3" w:tplc="98F6BA24" w:tentative="1">
      <w:start w:val="1"/>
      <w:numFmt w:val="bullet"/>
      <w:lvlText w:val="•"/>
      <w:lvlJc w:val="left"/>
      <w:pPr>
        <w:tabs>
          <w:tab w:val="num" w:pos="2880"/>
        </w:tabs>
        <w:ind w:left="2880" w:hanging="360"/>
      </w:pPr>
      <w:rPr>
        <w:rFonts w:ascii="Arial" w:hAnsi="Arial" w:hint="default"/>
      </w:rPr>
    </w:lvl>
    <w:lvl w:ilvl="4" w:tplc="AFC832EE" w:tentative="1">
      <w:start w:val="1"/>
      <w:numFmt w:val="bullet"/>
      <w:lvlText w:val="•"/>
      <w:lvlJc w:val="left"/>
      <w:pPr>
        <w:tabs>
          <w:tab w:val="num" w:pos="3600"/>
        </w:tabs>
        <w:ind w:left="3600" w:hanging="360"/>
      </w:pPr>
      <w:rPr>
        <w:rFonts w:ascii="Arial" w:hAnsi="Arial" w:hint="default"/>
      </w:rPr>
    </w:lvl>
    <w:lvl w:ilvl="5" w:tplc="2F402E8E" w:tentative="1">
      <w:start w:val="1"/>
      <w:numFmt w:val="bullet"/>
      <w:lvlText w:val="•"/>
      <w:lvlJc w:val="left"/>
      <w:pPr>
        <w:tabs>
          <w:tab w:val="num" w:pos="4320"/>
        </w:tabs>
        <w:ind w:left="4320" w:hanging="360"/>
      </w:pPr>
      <w:rPr>
        <w:rFonts w:ascii="Arial" w:hAnsi="Arial" w:hint="default"/>
      </w:rPr>
    </w:lvl>
    <w:lvl w:ilvl="6" w:tplc="436279D0" w:tentative="1">
      <w:start w:val="1"/>
      <w:numFmt w:val="bullet"/>
      <w:lvlText w:val="•"/>
      <w:lvlJc w:val="left"/>
      <w:pPr>
        <w:tabs>
          <w:tab w:val="num" w:pos="5040"/>
        </w:tabs>
        <w:ind w:left="5040" w:hanging="360"/>
      </w:pPr>
      <w:rPr>
        <w:rFonts w:ascii="Arial" w:hAnsi="Arial" w:hint="default"/>
      </w:rPr>
    </w:lvl>
    <w:lvl w:ilvl="7" w:tplc="AA2AB65C" w:tentative="1">
      <w:start w:val="1"/>
      <w:numFmt w:val="bullet"/>
      <w:lvlText w:val="•"/>
      <w:lvlJc w:val="left"/>
      <w:pPr>
        <w:tabs>
          <w:tab w:val="num" w:pos="5760"/>
        </w:tabs>
        <w:ind w:left="5760" w:hanging="360"/>
      </w:pPr>
      <w:rPr>
        <w:rFonts w:ascii="Arial" w:hAnsi="Arial" w:hint="default"/>
      </w:rPr>
    </w:lvl>
    <w:lvl w:ilvl="8" w:tplc="54361D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2D11219"/>
    <w:multiLevelType w:val="hybridMultilevel"/>
    <w:tmpl w:val="DA5ECC40"/>
    <w:lvl w:ilvl="0" w:tplc="344EEE10">
      <w:start w:val="1"/>
      <w:numFmt w:val="bullet"/>
      <w:lvlText w:val="•"/>
      <w:lvlJc w:val="left"/>
      <w:pPr>
        <w:tabs>
          <w:tab w:val="num" w:pos="720"/>
        </w:tabs>
        <w:ind w:left="720" w:hanging="360"/>
      </w:pPr>
      <w:rPr>
        <w:rFonts w:ascii="Arial" w:hAnsi="Arial" w:hint="default"/>
      </w:rPr>
    </w:lvl>
    <w:lvl w:ilvl="1" w:tplc="8D9AC960">
      <w:numFmt w:val="bullet"/>
      <w:lvlText w:val="•"/>
      <w:lvlJc w:val="left"/>
      <w:pPr>
        <w:tabs>
          <w:tab w:val="num" w:pos="1440"/>
        </w:tabs>
        <w:ind w:left="1440" w:hanging="360"/>
      </w:pPr>
      <w:rPr>
        <w:rFonts w:ascii="Arial" w:hAnsi="Arial" w:hint="default"/>
      </w:rPr>
    </w:lvl>
    <w:lvl w:ilvl="2" w:tplc="DD2099EC" w:tentative="1">
      <w:start w:val="1"/>
      <w:numFmt w:val="bullet"/>
      <w:lvlText w:val="•"/>
      <w:lvlJc w:val="left"/>
      <w:pPr>
        <w:tabs>
          <w:tab w:val="num" w:pos="2160"/>
        </w:tabs>
        <w:ind w:left="2160" w:hanging="360"/>
      </w:pPr>
      <w:rPr>
        <w:rFonts w:ascii="Arial" w:hAnsi="Arial" w:hint="default"/>
      </w:rPr>
    </w:lvl>
    <w:lvl w:ilvl="3" w:tplc="9AD8B732" w:tentative="1">
      <w:start w:val="1"/>
      <w:numFmt w:val="bullet"/>
      <w:lvlText w:val="•"/>
      <w:lvlJc w:val="left"/>
      <w:pPr>
        <w:tabs>
          <w:tab w:val="num" w:pos="2880"/>
        </w:tabs>
        <w:ind w:left="2880" w:hanging="360"/>
      </w:pPr>
      <w:rPr>
        <w:rFonts w:ascii="Arial" w:hAnsi="Arial" w:hint="default"/>
      </w:rPr>
    </w:lvl>
    <w:lvl w:ilvl="4" w:tplc="A7A62F7C" w:tentative="1">
      <w:start w:val="1"/>
      <w:numFmt w:val="bullet"/>
      <w:lvlText w:val="•"/>
      <w:lvlJc w:val="left"/>
      <w:pPr>
        <w:tabs>
          <w:tab w:val="num" w:pos="3600"/>
        </w:tabs>
        <w:ind w:left="3600" w:hanging="360"/>
      </w:pPr>
      <w:rPr>
        <w:rFonts w:ascii="Arial" w:hAnsi="Arial" w:hint="default"/>
      </w:rPr>
    </w:lvl>
    <w:lvl w:ilvl="5" w:tplc="06681186" w:tentative="1">
      <w:start w:val="1"/>
      <w:numFmt w:val="bullet"/>
      <w:lvlText w:val="•"/>
      <w:lvlJc w:val="left"/>
      <w:pPr>
        <w:tabs>
          <w:tab w:val="num" w:pos="4320"/>
        </w:tabs>
        <w:ind w:left="4320" w:hanging="360"/>
      </w:pPr>
      <w:rPr>
        <w:rFonts w:ascii="Arial" w:hAnsi="Arial" w:hint="default"/>
      </w:rPr>
    </w:lvl>
    <w:lvl w:ilvl="6" w:tplc="C6928028" w:tentative="1">
      <w:start w:val="1"/>
      <w:numFmt w:val="bullet"/>
      <w:lvlText w:val="•"/>
      <w:lvlJc w:val="left"/>
      <w:pPr>
        <w:tabs>
          <w:tab w:val="num" w:pos="5040"/>
        </w:tabs>
        <w:ind w:left="5040" w:hanging="360"/>
      </w:pPr>
      <w:rPr>
        <w:rFonts w:ascii="Arial" w:hAnsi="Arial" w:hint="default"/>
      </w:rPr>
    </w:lvl>
    <w:lvl w:ilvl="7" w:tplc="03149680" w:tentative="1">
      <w:start w:val="1"/>
      <w:numFmt w:val="bullet"/>
      <w:lvlText w:val="•"/>
      <w:lvlJc w:val="left"/>
      <w:pPr>
        <w:tabs>
          <w:tab w:val="num" w:pos="5760"/>
        </w:tabs>
        <w:ind w:left="5760" w:hanging="360"/>
      </w:pPr>
      <w:rPr>
        <w:rFonts w:ascii="Arial" w:hAnsi="Arial" w:hint="default"/>
      </w:rPr>
    </w:lvl>
    <w:lvl w:ilvl="8" w:tplc="4A4227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8145996"/>
    <w:multiLevelType w:val="hybridMultilevel"/>
    <w:tmpl w:val="1D163FDC"/>
    <w:lvl w:ilvl="0" w:tplc="4BAC6CE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2D4694"/>
    <w:multiLevelType w:val="hybridMultilevel"/>
    <w:tmpl w:val="804A0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F659CB"/>
    <w:multiLevelType w:val="hybridMultilevel"/>
    <w:tmpl w:val="177EADF6"/>
    <w:lvl w:ilvl="0" w:tplc="34AAECEE">
      <w:start w:val="1"/>
      <w:numFmt w:val="bullet"/>
      <w:lvlText w:val="•"/>
      <w:lvlJc w:val="left"/>
      <w:pPr>
        <w:tabs>
          <w:tab w:val="num" w:pos="720"/>
        </w:tabs>
        <w:ind w:left="720" w:hanging="360"/>
      </w:pPr>
      <w:rPr>
        <w:rFonts w:ascii="Arial" w:hAnsi="Arial" w:hint="default"/>
      </w:rPr>
    </w:lvl>
    <w:lvl w:ilvl="1" w:tplc="1DF0C9D6" w:tentative="1">
      <w:start w:val="1"/>
      <w:numFmt w:val="bullet"/>
      <w:lvlText w:val="•"/>
      <w:lvlJc w:val="left"/>
      <w:pPr>
        <w:tabs>
          <w:tab w:val="num" w:pos="1440"/>
        </w:tabs>
        <w:ind w:left="1440" w:hanging="360"/>
      </w:pPr>
      <w:rPr>
        <w:rFonts w:ascii="Arial" w:hAnsi="Arial" w:hint="default"/>
      </w:rPr>
    </w:lvl>
    <w:lvl w:ilvl="2" w:tplc="BB621C80" w:tentative="1">
      <w:start w:val="1"/>
      <w:numFmt w:val="bullet"/>
      <w:lvlText w:val="•"/>
      <w:lvlJc w:val="left"/>
      <w:pPr>
        <w:tabs>
          <w:tab w:val="num" w:pos="2160"/>
        </w:tabs>
        <w:ind w:left="2160" w:hanging="360"/>
      </w:pPr>
      <w:rPr>
        <w:rFonts w:ascii="Arial" w:hAnsi="Arial" w:hint="default"/>
      </w:rPr>
    </w:lvl>
    <w:lvl w:ilvl="3" w:tplc="CB482A56">
      <w:numFmt w:val="bullet"/>
      <w:lvlText w:val="•"/>
      <w:lvlJc w:val="left"/>
      <w:pPr>
        <w:tabs>
          <w:tab w:val="num" w:pos="2880"/>
        </w:tabs>
        <w:ind w:left="2880" w:hanging="360"/>
      </w:pPr>
      <w:rPr>
        <w:rFonts w:ascii="Arial" w:hAnsi="Arial" w:hint="default"/>
      </w:rPr>
    </w:lvl>
    <w:lvl w:ilvl="4" w:tplc="9EB64A36" w:tentative="1">
      <w:start w:val="1"/>
      <w:numFmt w:val="bullet"/>
      <w:lvlText w:val="•"/>
      <w:lvlJc w:val="left"/>
      <w:pPr>
        <w:tabs>
          <w:tab w:val="num" w:pos="3600"/>
        </w:tabs>
        <w:ind w:left="3600" w:hanging="360"/>
      </w:pPr>
      <w:rPr>
        <w:rFonts w:ascii="Arial" w:hAnsi="Arial" w:hint="default"/>
      </w:rPr>
    </w:lvl>
    <w:lvl w:ilvl="5" w:tplc="4DB45F50" w:tentative="1">
      <w:start w:val="1"/>
      <w:numFmt w:val="bullet"/>
      <w:lvlText w:val="•"/>
      <w:lvlJc w:val="left"/>
      <w:pPr>
        <w:tabs>
          <w:tab w:val="num" w:pos="4320"/>
        </w:tabs>
        <w:ind w:left="4320" w:hanging="360"/>
      </w:pPr>
      <w:rPr>
        <w:rFonts w:ascii="Arial" w:hAnsi="Arial" w:hint="default"/>
      </w:rPr>
    </w:lvl>
    <w:lvl w:ilvl="6" w:tplc="0D34E7B0" w:tentative="1">
      <w:start w:val="1"/>
      <w:numFmt w:val="bullet"/>
      <w:lvlText w:val="•"/>
      <w:lvlJc w:val="left"/>
      <w:pPr>
        <w:tabs>
          <w:tab w:val="num" w:pos="5040"/>
        </w:tabs>
        <w:ind w:left="5040" w:hanging="360"/>
      </w:pPr>
      <w:rPr>
        <w:rFonts w:ascii="Arial" w:hAnsi="Arial" w:hint="default"/>
      </w:rPr>
    </w:lvl>
    <w:lvl w:ilvl="7" w:tplc="D8F4A196" w:tentative="1">
      <w:start w:val="1"/>
      <w:numFmt w:val="bullet"/>
      <w:lvlText w:val="•"/>
      <w:lvlJc w:val="left"/>
      <w:pPr>
        <w:tabs>
          <w:tab w:val="num" w:pos="5760"/>
        </w:tabs>
        <w:ind w:left="5760" w:hanging="360"/>
      </w:pPr>
      <w:rPr>
        <w:rFonts w:ascii="Arial" w:hAnsi="Arial" w:hint="default"/>
      </w:rPr>
    </w:lvl>
    <w:lvl w:ilvl="8" w:tplc="98300C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902875"/>
    <w:multiLevelType w:val="hybridMultilevel"/>
    <w:tmpl w:val="553AF516"/>
    <w:lvl w:ilvl="0" w:tplc="4BAC6CE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4"/>
  </w:num>
  <w:num w:numId="5">
    <w:abstractNumId w:val="9"/>
  </w:num>
  <w:num w:numId="6">
    <w:abstractNumId w:val="1"/>
  </w:num>
  <w:num w:numId="7">
    <w:abstractNumId w:val="15"/>
  </w:num>
  <w:num w:numId="8">
    <w:abstractNumId w:val="2"/>
  </w:num>
  <w:num w:numId="9">
    <w:abstractNumId w:val="8"/>
  </w:num>
  <w:num w:numId="10">
    <w:abstractNumId w:val="4"/>
  </w:num>
  <w:num w:numId="11">
    <w:abstractNumId w:val="12"/>
  </w:num>
  <w:num w:numId="12">
    <w:abstractNumId w:val="0"/>
  </w:num>
  <w:num w:numId="13">
    <w:abstractNumId w:val="10"/>
  </w:num>
  <w:num w:numId="14">
    <w:abstractNumId w:val="16"/>
  </w:num>
  <w:num w:numId="15">
    <w:abstractNumId w:val="13"/>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93"/>
    <w:rsid w:val="00000C24"/>
    <w:rsid w:val="000204E1"/>
    <w:rsid w:val="00053D2B"/>
    <w:rsid w:val="000D393B"/>
    <w:rsid w:val="000F58CF"/>
    <w:rsid w:val="00112E09"/>
    <w:rsid w:val="001308D2"/>
    <w:rsid w:val="00177713"/>
    <w:rsid w:val="00204B70"/>
    <w:rsid w:val="00206115"/>
    <w:rsid w:val="002443F0"/>
    <w:rsid w:val="004B2D80"/>
    <w:rsid w:val="004F3F17"/>
    <w:rsid w:val="00546622"/>
    <w:rsid w:val="005A1B31"/>
    <w:rsid w:val="0062410E"/>
    <w:rsid w:val="006812A7"/>
    <w:rsid w:val="00695A8B"/>
    <w:rsid w:val="006B5766"/>
    <w:rsid w:val="00716A3B"/>
    <w:rsid w:val="007958F4"/>
    <w:rsid w:val="007E51A6"/>
    <w:rsid w:val="008B6EEB"/>
    <w:rsid w:val="0095204F"/>
    <w:rsid w:val="00975573"/>
    <w:rsid w:val="00A05822"/>
    <w:rsid w:val="00A12E90"/>
    <w:rsid w:val="00A22D7E"/>
    <w:rsid w:val="00A63E74"/>
    <w:rsid w:val="00A71BB4"/>
    <w:rsid w:val="00AB284D"/>
    <w:rsid w:val="00AC3B6D"/>
    <w:rsid w:val="00AD10B6"/>
    <w:rsid w:val="00AD2793"/>
    <w:rsid w:val="00B06A17"/>
    <w:rsid w:val="00B1449C"/>
    <w:rsid w:val="00B86A1D"/>
    <w:rsid w:val="00BF5FEE"/>
    <w:rsid w:val="00C0080E"/>
    <w:rsid w:val="00C652EB"/>
    <w:rsid w:val="00CC0892"/>
    <w:rsid w:val="00CC1695"/>
    <w:rsid w:val="00CC4F9D"/>
    <w:rsid w:val="00D9507E"/>
    <w:rsid w:val="00DB0748"/>
    <w:rsid w:val="00E11844"/>
    <w:rsid w:val="00E909D8"/>
    <w:rsid w:val="00EB2CDE"/>
    <w:rsid w:val="00EB661E"/>
    <w:rsid w:val="00EF489F"/>
    <w:rsid w:val="00F03CA4"/>
    <w:rsid w:val="00F83FF9"/>
    <w:rsid w:val="00F90E41"/>
    <w:rsid w:val="00F97D2C"/>
    <w:rsid w:val="00FD5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CE707"/>
  <w15:chartTrackingRefBased/>
  <w15:docId w15:val="{F2C7B096-E2D9-8A4F-91C5-81D1C267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93"/>
    <w:pPr>
      <w:spacing w:after="160" w:line="259" w:lineRule="auto"/>
    </w:pPr>
    <w:rPr>
      <w:sz w:val="22"/>
      <w:szCs w:val="22"/>
    </w:rPr>
  </w:style>
  <w:style w:type="paragraph" w:styleId="Heading1">
    <w:name w:val="heading 1"/>
    <w:basedOn w:val="Normal"/>
    <w:next w:val="Normal"/>
    <w:link w:val="Heading1Char"/>
    <w:uiPriority w:val="9"/>
    <w:qFormat/>
    <w:rsid w:val="00AD2793"/>
    <w:pPr>
      <w:keepNext/>
      <w:keepLines/>
      <w:numPr>
        <w:numId w:val="1"/>
      </w:numPr>
      <w:spacing w:before="240" w:after="0"/>
      <w:outlineLvl w:val="0"/>
    </w:pPr>
    <w:rPr>
      <w:rFonts w:eastAsiaTheme="majorEastAsia" w:cstheme="minorHAnsi"/>
      <w:b/>
      <w:bCs/>
      <w:color w:val="000000" w:themeColor="text1"/>
      <w:sz w:val="28"/>
      <w:szCs w:val="28"/>
      <w:u w:val="single"/>
    </w:rPr>
  </w:style>
  <w:style w:type="paragraph" w:styleId="Heading2">
    <w:name w:val="heading 2"/>
    <w:basedOn w:val="Normal"/>
    <w:next w:val="Normal"/>
    <w:link w:val="Heading2Char"/>
    <w:uiPriority w:val="9"/>
    <w:unhideWhenUsed/>
    <w:qFormat/>
    <w:rsid w:val="00AD2793"/>
    <w:pPr>
      <w:keepNext/>
      <w:keepLines/>
      <w:spacing w:before="360" w:after="240"/>
      <w:outlineLvl w:val="1"/>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93"/>
    <w:rPr>
      <w:rFonts w:eastAsiaTheme="majorEastAsia" w:cstheme="minorHAnsi"/>
      <w:b/>
      <w:bCs/>
      <w:color w:val="000000" w:themeColor="text1"/>
      <w:sz w:val="28"/>
      <w:szCs w:val="28"/>
      <w:u w:val="single"/>
    </w:rPr>
  </w:style>
  <w:style w:type="character" w:customStyle="1" w:styleId="Heading2Char">
    <w:name w:val="Heading 2 Char"/>
    <w:basedOn w:val="DefaultParagraphFont"/>
    <w:link w:val="Heading2"/>
    <w:uiPriority w:val="9"/>
    <w:rsid w:val="00AD2793"/>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AD2793"/>
    <w:pPr>
      <w:ind w:left="720"/>
      <w:contextualSpacing/>
    </w:pPr>
  </w:style>
  <w:style w:type="character" w:styleId="Hyperlink">
    <w:name w:val="Hyperlink"/>
    <w:basedOn w:val="DefaultParagraphFont"/>
    <w:uiPriority w:val="99"/>
    <w:unhideWhenUsed/>
    <w:rsid w:val="00AD2793"/>
    <w:rPr>
      <w:color w:val="0563C1" w:themeColor="hyperlink"/>
      <w:u w:val="single"/>
    </w:rPr>
  </w:style>
  <w:style w:type="paragraph" w:styleId="FootnoteText">
    <w:name w:val="footnote text"/>
    <w:basedOn w:val="Normal"/>
    <w:link w:val="FootnoteTextChar"/>
    <w:uiPriority w:val="99"/>
    <w:semiHidden/>
    <w:unhideWhenUsed/>
    <w:rsid w:val="00AD27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793"/>
    <w:rPr>
      <w:sz w:val="20"/>
      <w:szCs w:val="20"/>
    </w:rPr>
  </w:style>
  <w:style w:type="character" w:styleId="FootnoteReference">
    <w:name w:val="footnote reference"/>
    <w:basedOn w:val="DefaultParagraphFont"/>
    <w:uiPriority w:val="99"/>
    <w:semiHidden/>
    <w:unhideWhenUsed/>
    <w:rsid w:val="00AD2793"/>
    <w:rPr>
      <w:vertAlign w:val="superscript"/>
    </w:rPr>
  </w:style>
  <w:style w:type="paragraph" w:styleId="Header">
    <w:name w:val="header"/>
    <w:basedOn w:val="Normal"/>
    <w:link w:val="HeaderChar"/>
    <w:uiPriority w:val="99"/>
    <w:unhideWhenUsed/>
    <w:rsid w:val="00AD2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793"/>
    <w:rPr>
      <w:sz w:val="22"/>
      <w:szCs w:val="22"/>
    </w:rPr>
  </w:style>
  <w:style w:type="paragraph" w:styleId="Footer">
    <w:name w:val="footer"/>
    <w:basedOn w:val="Normal"/>
    <w:link w:val="FooterChar"/>
    <w:uiPriority w:val="99"/>
    <w:unhideWhenUsed/>
    <w:rsid w:val="00AD2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793"/>
    <w:rPr>
      <w:sz w:val="22"/>
      <w:szCs w:val="22"/>
    </w:rPr>
  </w:style>
  <w:style w:type="paragraph" w:styleId="NormalWeb">
    <w:name w:val="Normal (Web)"/>
    <w:basedOn w:val="Normal"/>
    <w:uiPriority w:val="99"/>
    <w:semiHidden/>
    <w:unhideWhenUsed/>
    <w:rsid w:val="00BF5F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12E09"/>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62410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410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410E"/>
    <w:rPr>
      <w:sz w:val="16"/>
      <w:szCs w:val="16"/>
    </w:rPr>
  </w:style>
  <w:style w:type="paragraph" w:styleId="CommentText">
    <w:name w:val="annotation text"/>
    <w:basedOn w:val="Normal"/>
    <w:link w:val="CommentTextChar"/>
    <w:uiPriority w:val="99"/>
    <w:semiHidden/>
    <w:unhideWhenUsed/>
    <w:rsid w:val="0062410E"/>
    <w:pPr>
      <w:spacing w:line="240" w:lineRule="auto"/>
    </w:pPr>
    <w:rPr>
      <w:sz w:val="20"/>
      <w:szCs w:val="20"/>
    </w:rPr>
  </w:style>
  <w:style w:type="character" w:customStyle="1" w:styleId="CommentTextChar">
    <w:name w:val="Comment Text Char"/>
    <w:basedOn w:val="DefaultParagraphFont"/>
    <w:link w:val="CommentText"/>
    <w:uiPriority w:val="99"/>
    <w:semiHidden/>
    <w:rsid w:val="0062410E"/>
    <w:rPr>
      <w:sz w:val="20"/>
      <w:szCs w:val="20"/>
    </w:rPr>
  </w:style>
  <w:style w:type="paragraph" w:styleId="CommentSubject">
    <w:name w:val="annotation subject"/>
    <w:basedOn w:val="CommentText"/>
    <w:next w:val="CommentText"/>
    <w:link w:val="CommentSubjectChar"/>
    <w:uiPriority w:val="99"/>
    <w:semiHidden/>
    <w:unhideWhenUsed/>
    <w:rsid w:val="00F90E41"/>
    <w:rPr>
      <w:b/>
      <w:bCs/>
    </w:rPr>
  </w:style>
  <w:style w:type="character" w:customStyle="1" w:styleId="CommentSubjectChar">
    <w:name w:val="Comment Subject Char"/>
    <w:basedOn w:val="CommentTextChar"/>
    <w:link w:val="CommentSubject"/>
    <w:uiPriority w:val="99"/>
    <w:semiHidden/>
    <w:rsid w:val="00F90E41"/>
    <w:rPr>
      <w:b/>
      <w:bCs/>
      <w:sz w:val="20"/>
      <w:szCs w:val="20"/>
    </w:rPr>
  </w:style>
  <w:style w:type="paragraph" w:styleId="Revision">
    <w:name w:val="Revision"/>
    <w:hidden/>
    <w:uiPriority w:val="99"/>
    <w:semiHidden/>
    <w:rsid w:val="00A63E74"/>
    <w:rPr>
      <w:sz w:val="22"/>
      <w:szCs w:val="22"/>
    </w:rPr>
  </w:style>
  <w:style w:type="character" w:styleId="UnresolvedMention">
    <w:name w:val="Unresolved Mention"/>
    <w:basedOn w:val="DefaultParagraphFont"/>
    <w:uiPriority w:val="99"/>
    <w:semiHidden/>
    <w:unhideWhenUsed/>
    <w:rsid w:val="00E11844"/>
    <w:rPr>
      <w:color w:val="605E5C"/>
      <w:shd w:val="clear" w:color="auto" w:fill="E1DFDD"/>
    </w:rPr>
  </w:style>
  <w:style w:type="character" w:styleId="FollowedHyperlink">
    <w:name w:val="FollowedHyperlink"/>
    <w:basedOn w:val="DefaultParagraphFont"/>
    <w:uiPriority w:val="99"/>
    <w:semiHidden/>
    <w:unhideWhenUsed/>
    <w:rsid w:val="00E11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29937">
      <w:bodyDiv w:val="1"/>
      <w:marLeft w:val="0"/>
      <w:marRight w:val="0"/>
      <w:marTop w:val="0"/>
      <w:marBottom w:val="0"/>
      <w:divBdr>
        <w:top w:val="none" w:sz="0" w:space="0" w:color="auto"/>
        <w:left w:val="none" w:sz="0" w:space="0" w:color="auto"/>
        <w:bottom w:val="none" w:sz="0" w:space="0" w:color="auto"/>
        <w:right w:val="none" w:sz="0" w:space="0" w:color="auto"/>
      </w:divBdr>
    </w:div>
    <w:div w:id="382754206">
      <w:bodyDiv w:val="1"/>
      <w:marLeft w:val="0"/>
      <w:marRight w:val="0"/>
      <w:marTop w:val="0"/>
      <w:marBottom w:val="0"/>
      <w:divBdr>
        <w:top w:val="none" w:sz="0" w:space="0" w:color="auto"/>
        <w:left w:val="none" w:sz="0" w:space="0" w:color="auto"/>
        <w:bottom w:val="none" w:sz="0" w:space="0" w:color="auto"/>
        <w:right w:val="none" w:sz="0" w:space="0" w:color="auto"/>
      </w:divBdr>
      <w:divsChild>
        <w:div w:id="2065712512">
          <w:marLeft w:val="547"/>
          <w:marRight w:val="0"/>
          <w:marTop w:val="0"/>
          <w:marBottom w:val="0"/>
          <w:divBdr>
            <w:top w:val="none" w:sz="0" w:space="0" w:color="auto"/>
            <w:left w:val="none" w:sz="0" w:space="0" w:color="auto"/>
            <w:bottom w:val="none" w:sz="0" w:space="0" w:color="auto"/>
            <w:right w:val="none" w:sz="0" w:space="0" w:color="auto"/>
          </w:divBdr>
        </w:div>
        <w:div w:id="2106807084">
          <w:marLeft w:val="547"/>
          <w:marRight w:val="0"/>
          <w:marTop w:val="0"/>
          <w:marBottom w:val="0"/>
          <w:divBdr>
            <w:top w:val="none" w:sz="0" w:space="0" w:color="auto"/>
            <w:left w:val="none" w:sz="0" w:space="0" w:color="auto"/>
            <w:bottom w:val="none" w:sz="0" w:space="0" w:color="auto"/>
            <w:right w:val="none" w:sz="0" w:space="0" w:color="auto"/>
          </w:divBdr>
        </w:div>
        <w:div w:id="1013607456">
          <w:marLeft w:val="1958"/>
          <w:marRight w:val="0"/>
          <w:marTop w:val="0"/>
          <w:marBottom w:val="0"/>
          <w:divBdr>
            <w:top w:val="none" w:sz="0" w:space="0" w:color="auto"/>
            <w:left w:val="none" w:sz="0" w:space="0" w:color="auto"/>
            <w:bottom w:val="none" w:sz="0" w:space="0" w:color="auto"/>
            <w:right w:val="none" w:sz="0" w:space="0" w:color="auto"/>
          </w:divBdr>
        </w:div>
        <w:div w:id="754017646">
          <w:marLeft w:val="1958"/>
          <w:marRight w:val="0"/>
          <w:marTop w:val="0"/>
          <w:marBottom w:val="0"/>
          <w:divBdr>
            <w:top w:val="none" w:sz="0" w:space="0" w:color="auto"/>
            <w:left w:val="none" w:sz="0" w:space="0" w:color="auto"/>
            <w:bottom w:val="none" w:sz="0" w:space="0" w:color="auto"/>
            <w:right w:val="none" w:sz="0" w:space="0" w:color="auto"/>
          </w:divBdr>
        </w:div>
        <w:div w:id="252054962">
          <w:marLeft w:val="1958"/>
          <w:marRight w:val="0"/>
          <w:marTop w:val="0"/>
          <w:marBottom w:val="0"/>
          <w:divBdr>
            <w:top w:val="none" w:sz="0" w:space="0" w:color="auto"/>
            <w:left w:val="none" w:sz="0" w:space="0" w:color="auto"/>
            <w:bottom w:val="none" w:sz="0" w:space="0" w:color="auto"/>
            <w:right w:val="none" w:sz="0" w:space="0" w:color="auto"/>
          </w:divBdr>
        </w:div>
        <w:div w:id="473136004">
          <w:marLeft w:val="1958"/>
          <w:marRight w:val="0"/>
          <w:marTop w:val="0"/>
          <w:marBottom w:val="0"/>
          <w:divBdr>
            <w:top w:val="none" w:sz="0" w:space="0" w:color="auto"/>
            <w:left w:val="none" w:sz="0" w:space="0" w:color="auto"/>
            <w:bottom w:val="none" w:sz="0" w:space="0" w:color="auto"/>
            <w:right w:val="none" w:sz="0" w:space="0" w:color="auto"/>
          </w:divBdr>
        </w:div>
        <w:div w:id="1578444470">
          <w:marLeft w:val="547"/>
          <w:marRight w:val="0"/>
          <w:marTop w:val="0"/>
          <w:marBottom w:val="0"/>
          <w:divBdr>
            <w:top w:val="none" w:sz="0" w:space="0" w:color="auto"/>
            <w:left w:val="none" w:sz="0" w:space="0" w:color="auto"/>
            <w:bottom w:val="none" w:sz="0" w:space="0" w:color="auto"/>
            <w:right w:val="none" w:sz="0" w:space="0" w:color="auto"/>
          </w:divBdr>
        </w:div>
        <w:div w:id="1773620455">
          <w:marLeft w:val="1958"/>
          <w:marRight w:val="0"/>
          <w:marTop w:val="0"/>
          <w:marBottom w:val="0"/>
          <w:divBdr>
            <w:top w:val="none" w:sz="0" w:space="0" w:color="auto"/>
            <w:left w:val="none" w:sz="0" w:space="0" w:color="auto"/>
            <w:bottom w:val="none" w:sz="0" w:space="0" w:color="auto"/>
            <w:right w:val="none" w:sz="0" w:space="0" w:color="auto"/>
          </w:divBdr>
        </w:div>
        <w:div w:id="1067071422">
          <w:marLeft w:val="1958"/>
          <w:marRight w:val="0"/>
          <w:marTop w:val="0"/>
          <w:marBottom w:val="0"/>
          <w:divBdr>
            <w:top w:val="none" w:sz="0" w:space="0" w:color="auto"/>
            <w:left w:val="none" w:sz="0" w:space="0" w:color="auto"/>
            <w:bottom w:val="none" w:sz="0" w:space="0" w:color="auto"/>
            <w:right w:val="none" w:sz="0" w:space="0" w:color="auto"/>
          </w:divBdr>
        </w:div>
        <w:div w:id="1056926407">
          <w:marLeft w:val="1958"/>
          <w:marRight w:val="0"/>
          <w:marTop w:val="0"/>
          <w:marBottom w:val="0"/>
          <w:divBdr>
            <w:top w:val="none" w:sz="0" w:space="0" w:color="auto"/>
            <w:left w:val="none" w:sz="0" w:space="0" w:color="auto"/>
            <w:bottom w:val="none" w:sz="0" w:space="0" w:color="auto"/>
            <w:right w:val="none" w:sz="0" w:space="0" w:color="auto"/>
          </w:divBdr>
        </w:div>
        <w:div w:id="1238783523">
          <w:marLeft w:val="1958"/>
          <w:marRight w:val="0"/>
          <w:marTop w:val="0"/>
          <w:marBottom w:val="0"/>
          <w:divBdr>
            <w:top w:val="none" w:sz="0" w:space="0" w:color="auto"/>
            <w:left w:val="none" w:sz="0" w:space="0" w:color="auto"/>
            <w:bottom w:val="none" w:sz="0" w:space="0" w:color="auto"/>
            <w:right w:val="none" w:sz="0" w:space="0" w:color="auto"/>
          </w:divBdr>
        </w:div>
        <w:div w:id="1302349776">
          <w:marLeft w:val="1958"/>
          <w:marRight w:val="0"/>
          <w:marTop w:val="0"/>
          <w:marBottom w:val="0"/>
          <w:divBdr>
            <w:top w:val="none" w:sz="0" w:space="0" w:color="auto"/>
            <w:left w:val="none" w:sz="0" w:space="0" w:color="auto"/>
            <w:bottom w:val="none" w:sz="0" w:space="0" w:color="auto"/>
            <w:right w:val="none" w:sz="0" w:space="0" w:color="auto"/>
          </w:divBdr>
        </w:div>
        <w:div w:id="1270166380">
          <w:marLeft w:val="1958"/>
          <w:marRight w:val="0"/>
          <w:marTop w:val="0"/>
          <w:marBottom w:val="0"/>
          <w:divBdr>
            <w:top w:val="none" w:sz="0" w:space="0" w:color="auto"/>
            <w:left w:val="none" w:sz="0" w:space="0" w:color="auto"/>
            <w:bottom w:val="none" w:sz="0" w:space="0" w:color="auto"/>
            <w:right w:val="none" w:sz="0" w:space="0" w:color="auto"/>
          </w:divBdr>
        </w:div>
        <w:div w:id="1785228981">
          <w:marLeft w:val="1958"/>
          <w:marRight w:val="0"/>
          <w:marTop w:val="0"/>
          <w:marBottom w:val="0"/>
          <w:divBdr>
            <w:top w:val="none" w:sz="0" w:space="0" w:color="auto"/>
            <w:left w:val="none" w:sz="0" w:space="0" w:color="auto"/>
            <w:bottom w:val="none" w:sz="0" w:space="0" w:color="auto"/>
            <w:right w:val="none" w:sz="0" w:space="0" w:color="auto"/>
          </w:divBdr>
        </w:div>
        <w:div w:id="1762947759">
          <w:marLeft w:val="1958"/>
          <w:marRight w:val="0"/>
          <w:marTop w:val="0"/>
          <w:marBottom w:val="0"/>
          <w:divBdr>
            <w:top w:val="none" w:sz="0" w:space="0" w:color="auto"/>
            <w:left w:val="none" w:sz="0" w:space="0" w:color="auto"/>
            <w:bottom w:val="none" w:sz="0" w:space="0" w:color="auto"/>
            <w:right w:val="none" w:sz="0" w:space="0" w:color="auto"/>
          </w:divBdr>
        </w:div>
        <w:div w:id="870994523">
          <w:marLeft w:val="1958"/>
          <w:marRight w:val="0"/>
          <w:marTop w:val="0"/>
          <w:marBottom w:val="0"/>
          <w:divBdr>
            <w:top w:val="none" w:sz="0" w:space="0" w:color="auto"/>
            <w:left w:val="none" w:sz="0" w:space="0" w:color="auto"/>
            <w:bottom w:val="none" w:sz="0" w:space="0" w:color="auto"/>
            <w:right w:val="none" w:sz="0" w:space="0" w:color="auto"/>
          </w:divBdr>
        </w:div>
      </w:divsChild>
    </w:div>
    <w:div w:id="405228983">
      <w:bodyDiv w:val="1"/>
      <w:marLeft w:val="0"/>
      <w:marRight w:val="0"/>
      <w:marTop w:val="0"/>
      <w:marBottom w:val="0"/>
      <w:divBdr>
        <w:top w:val="none" w:sz="0" w:space="0" w:color="auto"/>
        <w:left w:val="none" w:sz="0" w:space="0" w:color="auto"/>
        <w:bottom w:val="none" w:sz="0" w:space="0" w:color="auto"/>
        <w:right w:val="none" w:sz="0" w:space="0" w:color="auto"/>
      </w:divBdr>
      <w:divsChild>
        <w:div w:id="1989090498">
          <w:marLeft w:val="547"/>
          <w:marRight w:val="0"/>
          <w:marTop w:val="0"/>
          <w:marBottom w:val="0"/>
          <w:divBdr>
            <w:top w:val="none" w:sz="0" w:space="0" w:color="auto"/>
            <w:left w:val="none" w:sz="0" w:space="0" w:color="auto"/>
            <w:bottom w:val="none" w:sz="0" w:space="0" w:color="auto"/>
            <w:right w:val="none" w:sz="0" w:space="0" w:color="auto"/>
          </w:divBdr>
        </w:div>
        <w:div w:id="405498893">
          <w:marLeft w:val="547"/>
          <w:marRight w:val="0"/>
          <w:marTop w:val="0"/>
          <w:marBottom w:val="0"/>
          <w:divBdr>
            <w:top w:val="none" w:sz="0" w:space="0" w:color="auto"/>
            <w:left w:val="none" w:sz="0" w:space="0" w:color="auto"/>
            <w:bottom w:val="none" w:sz="0" w:space="0" w:color="auto"/>
            <w:right w:val="none" w:sz="0" w:space="0" w:color="auto"/>
          </w:divBdr>
        </w:div>
        <w:div w:id="1505436064">
          <w:marLeft w:val="547"/>
          <w:marRight w:val="0"/>
          <w:marTop w:val="0"/>
          <w:marBottom w:val="0"/>
          <w:divBdr>
            <w:top w:val="none" w:sz="0" w:space="0" w:color="auto"/>
            <w:left w:val="none" w:sz="0" w:space="0" w:color="auto"/>
            <w:bottom w:val="none" w:sz="0" w:space="0" w:color="auto"/>
            <w:right w:val="none" w:sz="0" w:space="0" w:color="auto"/>
          </w:divBdr>
        </w:div>
      </w:divsChild>
    </w:div>
    <w:div w:id="1755857881">
      <w:bodyDiv w:val="1"/>
      <w:marLeft w:val="0"/>
      <w:marRight w:val="0"/>
      <w:marTop w:val="0"/>
      <w:marBottom w:val="0"/>
      <w:divBdr>
        <w:top w:val="none" w:sz="0" w:space="0" w:color="auto"/>
        <w:left w:val="none" w:sz="0" w:space="0" w:color="auto"/>
        <w:bottom w:val="none" w:sz="0" w:space="0" w:color="auto"/>
        <w:right w:val="none" w:sz="0" w:space="0" w:color="auto"/>
      </w:divBdr>
      <w:divsChild>
        <w:div w:id="517086347">
          <w:marLeft w:val="446"/>
          <w:marRight w:val="0"/>
          <w:marTop w:val="0"/>
          <w:marBottom w:val="0"/>
          <w:divBdr>
            <w:top w:val="none" w:sz="0" w:space="0" w:color="auto"/>
            <w:left w:val="none" w:sz="0" w:space="0" w:color="auto"/>
            <w:bottom w:val="none" w:sz="0" w:space="0" w:color="auto"/>
            <w:right w:val="none" w:sz="0" w:space="0" w:color="auto"/>
          </w:divBdr>
        </w:div>
        <w:div w:id="1738438113">
          <w:marLeft w:val="446"/>
          <w:marRight w:val="0"/>
          <w:marTop w:val="0"/>
          <w:marBottom w:val="0"/>
          <w:divBdr>
            <w:top w:val="none" w:sz="0" w:space="0" w:color="auto"/>
            <w:left w:val="none" w:sz="0" w:space="0" w:color="auto"/>
            <w:bottom w:val="none" w:sz="0" w:space="0" w:color="auto"/>
            <w:right w:val="none" w:sz="0" w:space="0" w:color="auto"/>
          </w:divBdr>
        </w:div>
        <w:div w:id="289752238">
          <w:marLeft w:val="446"/>
          <w:marRight w:val="0"/>
          <w:marTop w:val="0"/>
          <w:marBottom w:val="0"/>
          <w:divBdr>
            <w:top w:val="none" w:sz="0" w:space="0" w:color="auto"/>
            <w:left w:val="none" w:sz="0" w:space="0" w:color="auto"/>
            <w:bottom w:val="none" w:sz="0" w:space="0" w:color="auto"/>
            <w:right w:val="none" w:sz="0" w:space="0" w:color="auto"/>
          </w:divBdr>
        </w:div>
        <w:div w:id="1104616834">
          <w:marLeft w:val="1166"/>
          <w:marRight w:val="0"/>
          <w:marTop w:val="0"/>
          <w:marBottom w:val="0"/>
          <w:divBdr>
            <w:top w:val="none" w:sz="0" w:space="0" w:color="auto"/>
            <w:left w:val="none" w:sz="0" w:space="0" w:color="auto"/>
            <w:bottom w:val="none" w:sz="0" w:space="0" w:color="auto"/>
            <w:right w:val="none" w:sz="0" w:space="0" w:color="auto"/>
          </w:divBdr>
        </w:div>
        <w:div w:id="1054547681">
          <w:marLeft w:val="1166"/>
          <w:marRight w:val="0"/>
          <w:marTop w:val="0"/>
          <w:marBottom w:val="0"/>
          <w:divBdr>
            <w:top w:val="none" w:sz="0" w:space="0" w:color="auto"/>
            <w:left w:val="none" w:sz="0" w:space="0" w:color="auto"/>
            <w:bottom w:val="none" w:sz="0" w:space="0" w:color="auto"/>
            <w:right w:val="none" w:sz="0" w:space="0" w:color="auto"/>
          </w:divBdr>
        </w:div>
        <w:div w:id="1404715736">
          <w:marLeft w:val="1166"/>
          <w:marRight w:val="0"/>
          <w:marTop w:val="0"/>
          <w:marBottom w:val="0"/>
          <w:divBdr>
            <w:top w:val="none" w:sz="0" w:space="0" w:color="auto"/>
            <w:left w:val="none" w:sz="0" w:space="0" w:color="auto"/>
            <w:bottom w:val="none" w:sz="0" w:space="0" w:color="auto"/>
            <w:right w:val="none" w:sz="0" w:space="0" w:color="auto"/>
          </w:divBdr>
        </w:div>
        <w:div w:id="762800755">
          <w:marLeft w:val="446"/>
          <w:marRight w:val="0"/>
          <w:marTop w:val="0"/>
          <w:marBottom w:val="0"/>
          <w:divBdr>
            <w:top w:val="none" w:sz="0" w:space="0" w:color="auto"/>
            <w:left w:val="none" w:sz="0" w:space="0" w:color="auto"/>
            <w:bottom w:val="none" w:sz="0" w:space="0" w:color="auto"/>
            <w:right w:val="none" w:sz="0" w:space="0" w:color="auto"/>
          </w:divBdr>
        </w:div>
      </w:divsChild>
    </w:div>
    <w:div w:id="1763717962">
      <w:bodyDiv w:val="1"/>
      <w:marLeft w:val="0"/>
      <w:marRight w:val="0"/>
      <w:marTop w:val="0"/>
      <w:marBottom w:val="0"/>
      <w:divBdr>
        <w:top w:val="none" w:sz="0" w:space="0" w:color="auto"/>
        <w:left w:val="none" w:sz="0" w:space="0" w:color="auto"/>
        <w:bottom w:val="none" w:sz="0" w:space="0" w:color="auto"/>
        <w:right w:val="none" w:sz="0" w:space="0" w:color="auto"/>
      </w:divBdr>
      <w:divsChild>
        <w:div w:id="235172688">
          <w:marLeft w:val="504"/>
          <w:marRight w:val="0"/>
          <w:marTop w:val="0"/>
          <w:marBottom w:val="0"/>
          <w:divBdr>
            <w:top w:val="none" w:sz="0" w:space="0" w:color="auto"/>
            <w:left w:val="none" w:sz="0" w:space="0" w:color="auto"/>
            <w:bottom w:val="none" w:sz="0" w:space="0" w:color="auto"/>
            <w:right w:val="none" w:sz="0" w:space="0" w:color="auto"/>
          </w:divBdr>
        </w:div>
        <w:div w:id="824978504">
          <w:marLeft w:val="446"/>
          <w:marRight w:val="0"/>
          <w:marTop w:val="0"/>
          <w:marBottom w:val="0"/>
          <w:divBdr>
            <w:top w:val="none" w:sz="0" w:space="0" w:color="auto"/>
            <w:left w:val="none" w:sz="0" w:space="0" w:color="auto"/>
            <w:bottom w:val="none" w:sz="0" w:space="0" w:color="auto"/>
            <w:right w:val="none" w:sz="0" w:space="0" w:color="auto"/>
          </w:divBdr>
        </w:div>
      </w:divsChild>
    </w:div>
    <w:div w:id="1819032894">
      <w:bodyDiv w:val="1"/>
      <w:marLeft w:val="0"/>
      <w:marRight w:val="0"/>
      <w:marTop w:val="0"/>
      <w:marBottom w:val="0"/>
      <w:divBdr>
        <w:top w:val="none" w:sz="0" w:space="0" w:color="auto"/>
        <w:left w:val="none" w:sz="0" w:space="0" w:color="auto"/>
        <w:bottom w:val="none" w:sz="0" w:space="0" w:color="auto"/>
        <w:right w:val="none" w:sz="0" w:space="0" w:color="auto"/>
      </w:divBdr>
      <w:divsChild>
        <w:div w:id="2002654193">
          <w:marLeft w:val="446"/>
          <w:marRight w:val="0"/>
          <w:marTop w:val="0"/>
          <w:marBottom w:val="0"/>
          <w:divBdr>
            <w:top w:val="none" w:sz="0" w:space="0" w:color="auto"/>
            <w:left w:val="none" w:sz="0" w:space="0" w:color="auto"/>
            <w:bottom w:val="none" w:sz="0" w:space="0" w:color="auto"/>
            <w:right w:val="none" w:sz="0" w:space="0" w:color="auto"/>
          </w:divBdr>
        </w:div>
        <w:div w:id="1811941789">
          <w:marLeft w:val="446"/>
          <w:marRight w:val="0"/>
          <w:marTop w:val="0"/>
          <w:marBottom w:val="0"/>
          <w:divBdr>
            <w:top w:val="none" w:sz="0" w:space="0" w:color="auto"/>
            <w:left w:val="none" w:sz="0" w:space="0" w:color="auto"/>
            <w:bottom w:val="none" w:sz="0" w:space="0" w:color="auto"/>
            <w:right w:val="none" w:sz="0" w:space="0" w:color="auto"/>
          </w:divBdr>
        </w:div>
        <w:div w:id="1467968891">
          <w:marLeft w:val="446"/>
          <w:marRight w:val="0"/>
          <w:marTop w:val="0"/>
          <w:marBottom w:val="60"/>
          <w:divBdr>
            <w:top w:val="none" w:sz="0" w:space="0" w:color="auto"/>
            <w:left w:val="none" w:sz="0" w:space="0" w:color="auto"/>
            <w:bottom w:val="none" w:sz="0" w:space="0" w:color="auto"/>
            <w:right w:val="none" w:sz="0" w:space="0" w:color="auto"/>
          </w:divBdr>
        </w:div>
        <w:div w:id="394399593">
          <w:marLeft w:val="446"/>
          <w:marRight w:val="0"/>
          <w:marTop w:val="0"/>
          <w:marBottom w:val="60"/>
          <w:divBdr>
            <w:top w:val="none" w:sz="0" w:space="0" w:color="auto"/>
            <w:left w:val="none" w:sz="0" w:space="0" w:color="auto"/>
            <w:bottom w:val="none" w:sz="0" w:space="0" w:color="auto"/>
            <w:right w:val="none" w:sz="0" w:space="0" w:color="auto"/>
          </w:divBdr>
        </w:div>
        <w:div w:id="1411659647">
          <w:marLeft w:val="446"/>
          <w:marRight w:val="0"/>
          <w:marTop w:val="0"/>
          <w:marBottom w:val="60"/>
          <w:divBdr>
            <w:top w:val="none" w:sz="0" w:space="0" w:color="auto"/>
            <w:left w:val="none" w:sz="0" w:space="0" w:color="auto"/>
            <w:bottom w:val="none" w:sz="0" w:space="0" w:color="auto"/>
            <w:right w:val="none" w:sz="0" w:space="0" w:color="auto"/>
          </w:divBdr>
        </w:div>
        <w:div w:id="723793803">
          <w:marLeft w:val="446"/>
          <w:marRight w:val="0"/>
          <w:marTop w:val="0"/>
          <w:marBottom w:val="0"/>
          <w:divBdr>
            <w:top w:val="none" w:sz="0" w:space="0" w:color="auto"/>
            <w:left w:val="none" w:sz="0" w:space="0" w:color="auto"/>
            <w:bottom w:val="none" w:sz="0" w:space="0" w:color="auto"/>
            <w:right w:val="none" w:sz="0" w:space="0" w:color="auto"/>
          </w:divBdr>
        </w:div>
      </w:divsChild>
    </w:div>
    <w:div w:id="2044669956">
      <w:bodyDiv w:val="1"/>
      <w:marLeft w:val="0"/>
      <w:marRight w:val="0"/>
      <w:marTop w:val="0"/>
      <w:marBottom w:val="0"/>
      <w:divBdr>
        <w:top w:val="none" w:sz="0" w:space="0" w:color="auto"/>
        <w:left w:val="none" w:sz="0" w:space="0" w:color="auto"/>
        <w:bottom w:val="none" w:sz="0" w:space="0" w:color="auto"/>
        <w:right w:val="none" w:sz="0" w:space="0" w:color="auto"/>
      </w:divBdr>
      <w:divsChild>
        <w:div w:id="2049137503">
          <w:marLeft w:val="446"/>
          <w:marRight w:val="0"/>
          <w:marTop w:val="0"/>
          <w:marBottom w:val="0"/>
          <w:divBdr>
            <w:top w:val="none" w:sz="0" w:space="0" w:color="auto"/>
            <w:left w:val="none" w:sz="0" w:space="0" w:color="auto"/>
            <w:bottom w:val="none" w:sz="0" w:space="0" w:color="auto"/>
            <w:right w:val="none" w:sz="0" w:space="0" w:color="auto"/>
          </w:divBdr>
        </w:div>
        <w:div w:id="84231393">
          <w:marLeft w:val="446"/>
          <w:marRight w:val="0"/>
          <w:marTop w:val="0"/>
          <w:marBottom w:val="0"/>
          <w:divBdr>
            <w:top w:val="none" w:sz="0" w:space="0" w:color="auto"/>
            <w:left w:val="none" w:sz="0" w:space="0" w:color="auto"/>
            <w:bottom w:val="none" w:sz="0" w:space="0" w:color="auto"/>
            <w:right w:val="none" w:sz="0" w:space="0" w:color="auto"/>
          </w:divBdr>
        </w:div>
        <w:div w:id="645596570">
          <w:marLeft w:val="446"/>
          <w:marRight w:val="0"/>
          <w:marTop w:val="0"/>
          <w:marBottom w:val="0"/>
          <w:divBdr>
            <w:top w:val="none" w:sz="0" w:space="0" w:color="auto"/>
            <w:left w:val="none" w:sz="0" w:space="0" w:color="auto"/>
            <w:bottom w:val="none" w:sz="0" w:space="0" w:color="auto"/>
            <w:right w:val="none" w:sz="0" w:space="0" w:color="auto"/>
          </w:divBdr>
        </w:div>
        <w:div w:id="147810956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a.org.uk/firms/innovation/regulatory-sandbo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r3.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info@fundadminchain.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2.deloitte.com/content/dam/Deloitte/lu/Documents/technology/lu_impact-blockchain-fund-distribution.pdf" TargetMode="External"/><Relationship Id="rId1" Type="http://schemas.openxmlformats.org/officeDocument/2006/relationships/hyperlink" Target="https://www.accenture.com/_acnmedia/pdf-94/accenture-capital-markets-vision-2022.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2020-06-11T21:27:00Z</dcterms:created>
  <dcterms:modified xsi:type="dcterms:W3CDTF">2020-06-11T21:27:00Z</dcterms:modified>
</cp:coreProperties>
</file>