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9A96E" w14:textId="77777777" w:rsidR="00D00F7B" w:rsidRPr="00D00F7B" w:rsidRDefault="00D00F7B"/>
    <w:p w14:paraId="2B5DF9BC" w14:textId="26509C47" w:rsidR="00781A82" w:rsidRPr="00781A82" w:rsidRDefault="00D00F7B">
      <w:pPr>
        <w:rPr>
          <w:b/>
          <w:bCs/>
          <w:u w:val="single"/>
        </w:rPr>
      </w:pPr>
      <w:r>
        <w:rPr>
          <w:b/>
          <w:bCs/>
          <w:u w:val="single"/>
        </w:rPr>
        <w:t>Policy and Approach</w:t>
      </w:r>
    </w:p>
    <w:p w14:paraId="524B3AE2" w14:textId="77777777" w:rsidR="00D00F7B" w:rsidRDefault="00EC7BDE">
      <w:r>
        <w:t xml:space="preserve">FAC policy is to take a compliance first approach and innovate within the existing regulatory rails.   </w:t>
      </w:r>
    </w:p>
    <w:p w14:paraId="1CEBD35E" w14:textId="40E2A7C6" w:rsidR="00EC7BDE" w:rsidRDefault="00EC7BDE">
      <w:r>
        <w:t>The proposed FAC distributed ledger platform for funds servicing</w:t>
      </w:r>
      <w:r w:rsidR="00EC4B48">
        <w:t xml:space="preserve"> </w:t>
      </w:r>
      <w:r w:rsidR="007C3B1C">
        <w:t>introduc</w:t>
      </w:r>
      <w:r w:rsidR="00EC4B48">
        <w:t>es</w:t>
      </w:r>
      <w:r w:rsidR="007C3B1C">
        <w:t xml:space="preserve"> new technolog</w:t>
      </w:r>
      <w:r w:rsidR="00EC4B48">
        <w:t>ies</w:t>
      </w:r>
      <w:r w:rsidR="007C3B1C">
        <w:t xml:space="preserve"> and redefin</w:t>
      </w:r>
      <w:r w:rsidR="00EC4B48">
        <w:t>es</w:t>
      </w:r>
      <w:r w:rsidR="007C3B1C">
        <w:t xml:space="preserve"> some r</w:t>
      </w:r>
      <w:r w:rsidR="00F7453D">
        <w:t xml:space="preserve">oles whilst maintaining </w:t>
      </w:r>
      <w:r w:rsidR="007C3B1C">
        <w:t xml:space="preserve">support for existing regulations </w:t>
      </w:r>
      <w:r w:rsidR="00DC49D0">
        <w:t>through</w:t>
      </w:r>
      <w:r w:rsidR="007C3B1C">
        <w:t xml:space="preserve"> three </w:t>
      </w:r>
      <w:r w:rsidR="00DC49D0">
        <w:t>core principles</w:t>
      </w:r>
      <w:r w:rsidR="007C3B1C">
        <w:t>:</w:t>
      </w:r>
    </w:p>
    <w:p w14:paraId="454DEDF7" w14:textId="59C2E836" w:rsidR="00EC4B48" w:rsidRDefault="00DC49D0" w:rsidP="00EC4B48">
      <w:pPr>
        <w:pStyle w:val="ListParagraph"/>
        <w:numPr>
          <w:ilvl w:val="0"/>
          <w:numId w:val="1"/>
        </w:numPr>
      </w:pPr>
      <w:r w:rsidRPr="00DC49D0">
        <w:rPr>
          <w:b/>
          <w:bCs/>
        </w:rPr>
        <w:t>Delivered by Authorised Businesses</w:t>
      </w:r>
      <w:r>
        <w:t xml:space="preserve"> - </w:t>
      </w:r>
      <w:r w:rsidR="007C3B1C">
        <w:t>FAC is not seeking regulated status for itself, the network will be operated by an established market infrastructure provider and participants will all be existing regulated businesses</w:t>
      </w:r>
      <w:r w:rsidR="00F7453D">
        <w:t xml:space="preserve"> in the UK</w:t>
      </w:r>
    </w:p>
    <w:p w14:paraId="0481EFB0" w14:textId="133D748A" w:rsidR="00EC4B48" w:rsidRDefault="00DC49D0" w:rsidP="00EC4B48">
      <w:pPr>
        <w:pStyle w:val="ListParagraph"/>
        <w:numPr>
          <w:ilvl w:val="0"/>
          <w:numId w:val="1"/>
        </w:numPr>
      </w:pPr>
      <w:r w:rsidRPr="00DC49D0">
        <w:rPr>
          <w:b/>
          <w:bCs/>
        </w:rPr>
        <w:t>Launch Regulated Funds</w:t>
      </w:r>
      <w:r>
        <w:t xml:space="preserve"> - </w:t>
      </w:r>
      <w:r w:rsidR="007C3B1C">
        <w:t xml:space="preserve">Funds launched on the FAC network will be </w:t>
      </w:r>
      <w:r w:rsidR="00EC4B48">
        <w:t>regulated ICVC funds incorporated under the UK OEIC regulations 2001</w:t>
      </w:r>
    </w:p>
    <w:p w14:paraId="00C4484D" w14:textId="206A4B3D" w:rsidR="007C3B1C" w:rsidRDefault="00DC49D0" w:rsidP="00EC4B48">
      <w:pPr>
        <w:pStyle w:val="ListParagraph"/>
        <w:numPr>
          <w:ilvl w:val="0"/>
          <w:numId w:val="1"/>
        </w:numPr>
      </w:pPr>
      <w:r w:rsidRPr="00DC49D0">
        <w:rPr>
          <w:b/>
          <w:bCs/>
        </w:rPr>
        <w:t>Protect Regulatory Oversight</w:t>
      </w:r>
      <w:r>
        <w:t xml:space="preserve"> - </w:t>
      </w:r>
      <w:r w:rsidR="007C3B1C">
        <w:t xml:space="preserve">The roles defined in </w:t>
      </w:r>
      <w:r w:rsidR="00EC4B48">
        <w:t>the FCA Handbook section COLL 6 relating to the Authorised Fund Manager and Depository are unchanged and w</w:t>
      </w:r>
      <w:r>
        <w:t>ill retain</w:t>
      </w:r>
      <w:r w:rsidR="00EC4B48">
        <w:t xml:space="preserve"> responsibility for regulatory compliance </w:t>
      </w:r>
      <w:r>
        <w:t xml:space="preserve">of funds launched </w:t>
      </w:r>
      <w:r w:rsidR="00EC4B48">
        <w:t>on the FAC network.</w:t>
      </w:r>
    </w:p>
    <w:p w14:paraId="097C5D6F" w14:textId="30A6C0EB" w:rsidR="007C3B1C" w:rsidRDefault="007C3B1C">
      <w:r>
        <w:t xml:space="preserve">FAC product design and implementation </w:t>
      </w:r>
      <w:proofErr w:type="gramStart"/>
      <w:r>
        <w:t>is</w:t>
      </w:r>
      <w:proofErr w:type="gramEnd"/>
      <w:r>
        <w:t xml:space="preserve"> guided by the </w:t>
      </w:r>
      <w:r w:rsidRPr="00A74734">
        <w:rPr>
          <w:b/>
          <w:bCs/>
        </w:rPr>
        <w:t>FAC legal and regulatory advisory group</w:t>
      </w:r>
      <w:r>
        <w:t xml:space="preserve"> which is made up of industry and legal professionals with significant experience in advising and managing regulated businesses in the UK</w:t>
      </w:r>
      <w:r w:rsidR="00DC49D0">
        <w:t xml:space="preserve">.   </w:t>
      </w:r>
    </w:p>
    <w:p w14:paraId="4EA6608D" w14:textId="5A025018" w:rsidR="00781A82" w:rsidRDefault="00A74734">
      <w:r>
        <w:t xml:space="preserve">As part of our pilot planning a wider legal and regulatory working party will ensure </w:t>
      </w:r>
      <w:r w:rsidR="004F06A2">
        <w:t xml:space="preserve">a broader </w:t>
      </w:r>
      <w:r w:rsidR="00A01413">
        <w:t xml:space="preserve">understanding and </w:t>
      </w:r>
      <w:r w:rsidR="004F06A2">
        <w:t xml:space="preserve">validation of FAC regulatory compliance and align with operational and technical preparations for the pilot. </w:t>
      </w:r>
    </w:p>
    <w:p w14:paraId="62865DDA" w14:textId="77777777" w:rsidR="004F06A2" w:rsidRDefault="004F06A2"/>
    <w:p w14:paraId="774F426C" w14:textId="19E93F19" w:rsidR="00781A82" w:rsidRDefault="00781A82">
      <w:pPr>
        <w:rPr>
          <w:b/>
          <w:bCs/>
          <w:u w:val="single"/>
        </w:rPr>
      </w:pPr>
      <w:r w:rsidRPr="00781A82">
        <w:rPr>
          <w:b/>
          <w:bCs/>
          <w:u w:val="single"/>
        </w:rPr>
        <w:t>Overview of regulatory and legal landscape</w:t>
      </w:r>
    </w:p>
    <w:p w14:paraId="24265064" w14:textId="3D34C237" w:rsidR="00E178D2" w:rsidRPr="000F2812" w:rsidRDefault="000F2812">
      <w:r w:rsidRPr="000F2812">
        <w:t>Th</w:t>
      </w:r>
      <w:r>
        <w:t xml:space="preserve">is table summarises FAC’s understanding of the regulations, laws and guidance that apply to its </w:t>
      </w:r>
      <w:r w:rsidR="00A01413">
        <w:t xml:space="preserve">design and </w:t>
      </w:r>
      <w:r>
        <w:t>operation.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38"/>
        <w:gridCol w:w="2835"/>
        <w:gridCol w:w="4536"/>
      </w:tblGrid>
      <w:tr w:rsidR="00143C51" w:rsidRPr="00143C51" w14:paraId="371A0A8D" w14:textId="77777777" w:rsidTr="00D00F7B">
        <w:tc>
          <w:tcPr>
            <w:tcW w:w="1838" w:type="dxa"/>
            <w:shd w:val="clear" w:color="auto" w:fill="D9D9D9" w:themeFill="background1" w:themeFillShade="D9"/>
          </w:tcPr>
          <w:p w14:paraId="046395C0" w14:textId="33008362" w:rsidR="00143C51" w:rsidRPr="00143C51" w:rsidRDefault="00143C51">
            <w:pPr>
              <w:rPr>
                <w:b/>
                <w:bCs/>
                <w:sz w:val="20"/>
                <w:szCs w:val="20"/>
              </w:rPr>
            </w:pPr>
            <w:r w:rsidRPr="00143C51">
              <w:rPr>
                <w:b/>
                <w:bCs/>
                <w:sz w:val="20"/>
                <w:szCs w:val="20"/>
              </w:rPr>
              <w:t>Functional Area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AD23AC3" w14:textId="01D37D32" w:rsidR="00143C51" w:rsidRPr="00143C51" w:rsidRDefault="00143C51">
            <w:pPr>
              <w:rPr>
                <w:b/>
                <w:bCs/>
                <w:sz w:val="20"/>
                <w:szCs w:val="20"/>
              </w:rPr>
            </w:pPr>
            <w:r w:rsidRPr="00143C51">
              <w:rPr>
                <w:b/>
                <w:bCs/>
                <w:sz w:val="20"/>
                <w:szCs w:val="20"/>
              </w:rPr>
              <w:t>Roles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B74871E" w14:textId="57217D56" w:rsidR="00143C51" w:rsidRPr="00143C51" w:rsidRDefault="00143C51">
            <w:pPr>
              <w:rPr>
                <w:b/>
                <w:bCs/>
                <w:sz w:val="20"/>
                <w:szCs w:val="20"/>
              </w:rPr>
            </w:pPr>
            <w:r w:rsidRPr="00143C51">
              <w:rPr>
                <w:b/>
                <w:bCs/>
                <w:sz w:val="20"/>
                <w:szCs w:val="20"/>
              </w:rPr>
              <w:t>Relevant Regulations</w:t>
            </w:r>
          </w:p>
        </w:tc>
      </w:tr>
      <w:tr w:rsidR="00143C51" w:rsidRPr="00E178D2" w14:paraId="437C8519" w14:textId="77777777" w:rsidTr="00D00F7B">
        <w:tc>
          <w:tcPr>
            <w:tcW w:w="1838" w:type="dxa"/>
          </w:tcPr>
          <w:p w14:paraId="7D138874" w14:textId="3C763D17" w:rsidR="00143C51" w:rsidRPr="000F2812" w:rsidRDefault="00143C51">
            <w:pPr>
              <w:rPr>
                <w:b/>
                <w:bCs/>
                <w:sz w:val="18"/>
                <w:szCs w:val="18"/>
              </w:rPr>
            </w:pPr>
            <w:r w:rsidRPr="000F2812">
              <w:rPr>
                <w:b/>
                <w:bCs/>
                <w:sz w:val="18"/>
                <w:szCs w:val="18"/>
              </w:rPr>
              <w:t>Fund L</w:t>
            </w:r>
            <w:r w:rsidR="00E178D2" w:rsidRPr="000F2812">
              <w:rPr>
                <w:b/>
                <w:bCs/>
                <w:sz w:val="18"/>
                <w:szCs w:val="18"/>
              </w:rPr>
              <w:t>ifecycle (Launch – Closure)</w:t>
            </w:r>
          </w:p>
        </w:tc>
        <w:tc>
          <w:tcPr>
            <w:tcW w:w="2835" w:type="dxa"/>
          </w:tcPr>
          <w:p w14:paraId="1DC00AB0" w14:textId="11AE0D5A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Fund Manager, Depositary, ACD, Registrar</w:t>
            </w:r>
          </w:p>
        </w:tc>
        <w:tc>
          <w:tcPr>
            <w:tcW w:w="4536" w:type="dxa"/>
          </w:tcPr>
          <w:p w14:paraId="7166C40C" w14:textId="01F8FFEF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FCA Coll3, UK OEIC Regulations 2001, MIFIDII</w:t>
            </w:r>
          </w:p>
        </w:tc>
      </w:tr>
      <w:tr w:rsidR="00143C51" w:rsidRPr="00E178D2" w14:paraId="6F345823" w14:textId="77777777" w:rsidTr="00D00F7B">
        <w:tc>
          <w:tcPr>
            <w:tcW w:w="1838" w:type="dxa"/>
          </w:tcPr>
          <w:p w14:paraId="1B0AE80D" w14:textId="31CE5012" w:rsidR="00143C51" w:rsidRPr="000F2812" w:rsidRDefault="00143C51">
            <w:pPr>
              <w:rPr>
                <w:b/>
                <w:bCs/>
                <w:sz w:val="18"/>
                <w:szCs w:val="18"/>
              </w:rPr>
            </w:pPr>
            <w:r w:rsidRPr="000F2812">
              <w:rPr>
                <w:b/>
                <w:bCs/>
                <w:sz w:val="18"/>
                <w:szCs w:val="18"/>
              </w:rPr>
              <w:t>Investor Activity</w:t>
            </w:r>
          </w:p>
        </w:tc>
        <w:tc>
          <w:tcPr>
            <w:tcW w:w="2835" w:type="dxa"/>
          </w:tcPr>
          <w:p w14:paraId="472DEA6F" w14:textId="77777777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Investors, Registrar, Nominee/Custodian</w:t>
            </w:r>
          </w:p>
          <w:p w14:paraId="48CE0FB4" w14:textId="4DE707ED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Cash Exchange</w:t>
            </w:r>
          </w:p>
        </w:tc>
        <w:tc>
          <w:tcPr>
            <w:tcW w:w="4536" w:type="dxa"/>
          </w:tcPr>
          <w:p w14:paraId="0C74F7A5" w14:textId="48DBC464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Money Laundering Regulations and Criminal Finances Act 2017, FCA CASS Rules, GDPR, MIFID II (suitability / Costs and charges)</w:t>
            </w:r>
          </w:p>
        </w:tc>
      </w:tr>
      <w:tr w:rsidR="00143C51" w:rsidRPr="00E178D2" w14:paraId="4F1008C8" w14:textId="77777777" w:rsidTr="00D00F7B">
        <w:tc>
          <w:tcPr>
            <w:tcW w:w="1838" w:type="dxa"/>
          </w:tcPr>
          <w:p w14:paraId="46263438" w14:textId="0CE4FF2F" w:rsidR="00143C51" w:rsidRPr="000F2812" w:rsidRDefault="00143C51">
            <w:pPr>
              <w:rPr>
                <w:b/>
                <w:bCs/>
                <w:sz w:val="18"/>
                <w:szCs w:val="18"/>
              </w:rPr>
            </w:pPr>
            <w:r w:rsidRPr="000F2812">
              <w:rPr>
                <w:b/>
                <w:bCs/>
                <w:sz w:val="18"/>
                <w:szCs w:val="18"/>
              </w:rPr>
              <w:t xml:space="preserve">Fund </w:t>
            </w:r>
            <w:r w:rsidR="00E178D2" w:rsidRPr="000F2812">
              <w:rPr>
                <w:b/>
                <w:bCs/>
                <w:sz w:val="18"/>
                <w:szCs w:val="18"/>
              </w:rPr>
              <w:t>Servicing</w:t>
            </w:r>
          </w:p>
        </w:tc>
        <w:tc>
          <w:tcPr>
            <w:tcW w:w="2835" w:type="dxa"/>
          </w:tcPr>
          <w:p w14:paraId="582D2765" w14:textId="2C159746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Fund Administrator, Registrar, |Fund Manager, Depositary and Fund Custodian, Cash Exchange, Network Operator</w:t>
            </w:r>
          </w:p>
        </w:tc>
        <w:tc>
          <w:tcPr>
            <w:tcW w:w="4536" w:type="dxa"/>
          </w:tcPr>
          <w:p w14:paraId="468298CE" w14:textId="77777777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FCA Coll6</w:t>
            </w:r>
          </w:p>
          <w:p w14:paraId="1EEA98FE" w14:textId="3BE8358B" w:rsidR="00143C51" w:rsidRPr="000F2812" w:rsidRDefault="00143C51">
            <w:pPr>
              <w:rPr>
                <w:sz w:val="18"/>
                <w:szCs w:val="18"/>
              </w:rPr>
            </w:pPr>
            <w:r w:rsidRPr="00781A82">
              <w:rPr>
                <w:sz w:val="18"/>
                <w:szCs w:val="18"/>
                <w:lang w:val="en-US"/>
              </w:rPr>
              <w:t>CP19/32</w:t>
            </w:r>
            <w:r w:rsidRPr="000F2812">
              <w:rPr>
                <w:sz w:val="18"/>
                <w:szCs w:val="18"/>
                <w:lang w:val="en-US"/>
              </w:rPr>
              <w:t xml:space="preserve"> - </w:t>
            </w:r>
            <w:r w:rsidRPr="000F2812">
              <w:rPr>
                <w:sz w:val="18"/>
                <w:szCs w:val="18"/>
              </w:rPr>
              <w:t>FCA Guidance on Operational Resilience</w:t>
            </w:r>
          </w:p>
          <w:p w14:paraId="617BC09E" w14:textId="45B6825C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ISO27001 – Information Security Management</w:t>
            </w:r>
          </w:p>
          <w:p w14:paraId="42AE2BC6" w14:textId="038CB522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GDPR</w:t>
            </w:r>
          </w:p>
        </w:tc>
      </w:tr>
      <w:tr w:rsidR="00143C51" w:rsidRPr="00E178D2" w14:paraId="6B65A29B" w14:textId="77777777" w:rsidTr="00D00F7B">
        <w:tc>
          <w:tcPr>
            <w:tcW w:w="1838" w:type="dxa"/>
          </w:tcPr>
          <w:p w14:paraId="352DB879" w14:textId="2952C45F" w:rsidR="00143C51" w:rsidRPr="000F2812" w:rsidRDefault="00E178D2">
            <w:pPr>
              <w:rPr>
                <w:b/>
                <w:bCs/>
                <w:sz w:val="18"/>
                <w:szCs w:val="18"/>
              </w:rPr>
            </w:pPr>
            <w:r w:rsidRPr="000F2812">
              <w:rPr>
                <w:b/>
                <w:bCs/>
                <w:sz w:val="18"/>
                <w:szCs w:val="18"/>
              </w:rPr>
              <w:t xml:space="preserve">Investment </w:t>
            </w:r>
            <w:r w:rsidR="00143C51" w:rsidRPr="000F2812">
              <w:rPr>
                <w:b/>
                <w:bCs/>
                <w:sz w:val="18"/>
                <w:szCs w:val="18"/>
              </w:rPr>
              <w:t>Manager Activity</w:t>
            </w:r>
          </w:p>
        </w:tc>
        <w:tc>
          <w:tcPr>
            <w:tcW w:w="2835" w:type="dxa"/>
          </w:tcPr>
          <w:p w14:paraId="60B5518D" w14:textId="76AF19CD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Fund Manager, ACD Depositary and Fund Custodian, Cash Exchange</w:t>
            </w:r>
          </w:p>
        </w:tc>
        <w:tc>
          <w:tcPr>
            <w:tcW w:w="4536" w:type="dxa"/>
          </w:tcPr>
          <w:p w14:paraId="125CA731" w14:textId="77777777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FCA Coll 3</w:t>
            </w:r>
          </w:p>
          <w:p w14:paraId="360ACF4D" w14:textId="679C9A72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MIFID II</w:t>
            </w:r>
          </w:p>
        </w:tc>
      </w:tr>
      <w:tr w:rsidR="00143C51" w:rsidRPr="00E178D2" w14:paraId="598A097A" w14:textId="77777777" w:rsidTr="00D00F7B">
        <w:tc>
          <w:tcPr>
            <w:tcW w:w="1838" w:type="dxa"/>
          </w:tcPr>
          <w:p w14:paraId="20E81C98" w14:textId="2F9C00DA" w:rsidR="00143C51" w:rsidRPr="000F2812" w:rsidRDefault="00143C51">
            <w:pPr>
              <w:rPr>
                <w:b/>
                <w:bCs/>
                <w:sz w:val="18"/>
                <w:szCs w:val="18"/>
              </w:rPr>
            </w:pPr>
            <w:r w:rsidRPr="000F2812">
              <w:rPr>
                <w:b/>
                <w:bCs/>
                <w:sz w:val="18"/>
                <w:szCs w:val="18"/>
              </w:rPr>
              <w:t>Fund Oversight</w:t>
            </w:r>
          </w:p>
        </w:tc>
        <w:tc>
          <w:tcPr>
            <w:tcW w:w="2835" w:type="dxa"/>
          </w:tcPr>
          <w:p w14:paraId="7AB6E11C" w14:textId="465854E4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ACD, Fund Manager, Depository, Regulator</w:t>
            </w:r>
          </w:p>
        </w:tc>
        <w:tc>
          <w:tcPr>
            <w:tcW w:w="4536" w:type="dxa"/>
          </w:tcPr>
          <w:p w14:paraId="57BE3E4A" w14:textId="77777777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FCA Coll3</w:t>
            </w:r>
          </w:p>
          <w:p w14:paraId="039DAE57" w14:textId="567F74AA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UK OEIC Regulations 2001</w:t>
            </w:r>
          </w:p>
        </w:tc>
      </w:tr>
      <w:tr w:rsidR="00143C51" w:rsidRPr="00E178D2" w14:paraId="7DEEF2BD" w14:textId="77777777" w:rsidTr="00D00F7B">
        <w:tc>
          <w:tcPr>
            <w:tcW w:w="1838" w:type="dxa"/>
          </w:tcPr>
          <w:p w14:paraId="000804A0" w14:textId="1299C2DF" w:rsidR="00143C51" w:rsidRPr="000F2812" w:rsidRDefault="00E178D2">
            <w:pPr>
              <w:rPr>
                <w:b/>
                <w:bCs/>
                <w:sz w:val="18"/>
                <w:szCs w:val="18"/>
              </w:rPr>
            </w:pPr>
            <w:r w:rsidRPr="000F2812">
              <w:rPr>
                <w:b/>
                <w:bCs/>
                <w:sz w:val="18"/>
                <w:szCs w:val="18"/>
              </w:rPr>
              <w:t>D</w:t>
            </w:r>
            <w:r w:rsidR="00143C51" w:rsidRPr="000F2812">
              <w:rPr>
                <w:b/>
                <w:bCs/>
                <w:sz w:val="18"/>
                <w:szCs w:val="18"/>
              </w:rPr>
              <w:t>istributed ledger and crypto technology</w:t>
            </w:r>
          </w:p>
        </w:tc>
        <w:tc>
          <w:tcPr>
            <w:tcW w:w="2835" w:type="dxa"/>
          </w:tcPr>
          <w:p w14:paraId="4EA61E27" w14:textId="4A28B723" w:rsidR="00143C51" w:rsidRPr="000F2812" w:rsidRDefault="00143C51">
            <w:pPr>
              <w:rPr>
                <w:sz w:val="18"/>
                <w:szCs w:val="18"/>
              </w:rPr>
            </w:pPr>
            <w:r w:rsidRPr="000F2812">
              <w:rPr>
                <w:sz w:val="18"/>
                <w:szCs w:val="18"/>
              </w:rPr>
              <w:t>All parties involved in issuing or trading in crypto assets, registering crypto asset trades or involved in the oversight of these activities</w:t>
            </w:r>
          </w:p>
        </w:tc>
        <w:tc>
          <w:tcPr>
            <w:tcW w:w="4536" w:type="dxa"/>
          </w:tcPr>
          <w:p w14:paraId="5EC701CC" w14:textId="39B65F37" w:rsidR="00143C51" w:rsidRPr="000F2812" w:rsidRDefault="00143C51" w:rsidP="00781A82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781A82">
              <w:rPr>
                <w:rFonts w:cstheme="minorHAnsi"/>
                <w:sz w:val="18"/>
                <w:szCs w:val="18"/>
                <w:lang w:val="en-US"/>
              </w:rPr>
              <w:t xml:space="preserve">CP19/22 </w:t>
            </w:r>
            <w:r w:rsidRPr="000F2812">
              <w:rPr>
                <w:rFonts w:cstheme="minorHAnsi"/>
                <w:sz w:val="18"/>
                <w:szCs w:val="18"/>
                <w:lang w:val="en-US"/>
              </w:rPr>
              <w:t xml:space="preserve">- </w:t>
            </w:r>
            <w:r w:rsidRPr="00781A82">
              <w:rPr>
                <w:rFonts w:cstheme="minorHAnsi"/>
                <w:sz w:val="18"/>
                <w:szCs w:val="18"/>
                <w:lang w:val="en-US"/>
              </w:rPr>
              <w:t>FCA Guidance on Digital Assets</w:t>
            </w:r>
          </w:p>
          <w:p w14:paraId="55DFA891" w14:textId="39B36E2E" w:rsidR="00143C51" w:rsidRPr="000F2812" w:rsidRDefault="00143C51" w:rsidP="00E178D2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781A82">
              <w:rPr>
                <w:rFonts w:cstheme="minorHAnsi"/>
                <w:sz w:val="18"/>
                <w:szCs w:val="18"/>
                <w:lang w:val="en-US"/>
              </w:rPr>
              <w:t>LawTech</w:t>
            </w:r>
            <w:proofErr w:type="spellEnd"/>
            <w:r w:rsidRPr="00781A82">
              <w:rPr>
                <w:rFonts w:cstheme="minorHAnsi"/>
                <w:sz w:val="18"/>
                <w:szCs w:val="18"/>
                <w:lang w:val="en-US"/>
              </w:rPr>
              <w:t xml:space="preserve"> Panel Review </w:t>
            </w:r>
            <w:r w:rsidRPr="000F2812">
              <w:rPr>
                <w:rFonts w:cstheme="minorHAnsi"/>
                <w:sz w:val="18"/>
                <w:szCs w:val="18"/>
                <w:lang w:val="en-US"/>
              </w:rPr>
              <w:t xml:space="preserve">on legal status of </w:t>
            </w:r>
            <w:proofErr w:type="spellStart"/>
            <w:r w:rsidRPr="00781A82">
              <w:rPr>
                <w:rFonts w:cstheme="minorHAnsi"/>
                <w:sz w:val="18"/>
                <w:szCs w:val="18"/>
                <w:lang w:val="en-US"/>
              </w:rPr>
              <w:t>cryptoassets</w:t>
            </w:r>
            <w:proofErr w:type="spellEnd"/>
            <w:r w:rsidRPr="00781A82">
              <w:rPr>
                <w:rFonts w:cstheme="minorHAnsi"/>
                <w:sz w:val="18"/>
                <w:szCs w:val="18"/>
                <w:lang w:val="en-US"/>
              </w:rPr>
              <w:t xml:space="preserve"> and smart contracts</w:t>
            </w:r>
            <w:r w:rsidR="00E178D2" w:rsidRPr="000F2812">
              <w:rPr>
                <w:rFonts w:cstheme="minorHAnsi"/>
                <w:sz w:val="18"/>
                <w:szCs w:val="18"/>
                <w:lang w:val="en-US"/>
              </w:rPr>
              <w:br/>
            </w:r>
            <w:r w:rsidRPr="00781A82">
              <w:rPr>
                <w:rFonts w:cstheme="minorHAnsi"/>
                <w:sz w:val="18"/>
                <w:szCs w:val="18"/>
                <w:lang w:val="en-US"/>
              </w:rPr>
              <w:t>A</w:t>
            </w:r>
            <w:r w:rsidRPr="000F2812">
              <w:rPr>
                <w:rFonts w:eastAsiaTheme="minorEastAsia" w:cstheme="minorHAnsi"/>
                <w:sz w:val="18"/>
                <w:szCs w:val="18"/>
                <w:lang w:val="en-US"/>
              </w:rPr>
              <w:t>M</w:t>
            </w:r>
            <w:r w:rsidRPr="00781A82">
              <w:rPr>
                <w:rFonts w:cstheme="minorHAnsi"/>
                <w:sz w:val="18"/>
                <w:szCs w:val="18"/>
                <w:lang w:val="en-US"/>
              </w:rPr>
              <w:t xml:space="preserve">LD5 </w:t>
            </w:r>
            <w:r w:rsidRPr="000F2812">
              <w:rPr>
                <w:rFonts w:cstheme="minorHAnsi"/>
                <w:sz w:val="18"/>
                <w:szCs w:val="18"/>
                <w:lang w:val="en-US"/>
              </w:rPr>
              <w:t xml:space="preserve">for Digital Asset Service Providers and FATF guidance on </w:t>
            </w:r>
            <w:r w:rsidRPr="000F2812">
              <w:rPr>
                <w:rFonts w:cstheme="minorHAnsi"/>
                <w:sz w:val="18"/>
                <w:szCs w:val="18"/>
              </w:rPr>
              <w:t>Virtual Assets and Virtual Asset Service Providers</w:t>
            </w:r>
          </w:p>
        </w:tc>
      </w:tr>
    </w:tbl>
    <w:p w14:paraId="5B2D74A7" w14:textId="21E5CD5B" w:rsidR="000F2812" w:rsidRDefault="000F2812">
      <w:pPr>
        <w:rPr>
          <w:rFonts w:cstheme="minorHAnsi"/>
        </w:rPr>
      </w:pPr>
    </w:p>
    <w:p w14:paraId="61543AA4" w14:textId="6779F175" w:rsidR="00DC49D0" w:rsidRDefault="00DC49D0">
      <w:pPr>
        <w:rPr>
          <w:rFonts w:cstheme="minorHAnsi"/>
        </w:rPr>
      </w:pPr>
    </w:p>
    <w:p w14:paraId="4C311269" w14:textId="77777777" w:rsidR="00E96C06" w:rsidRDefault="00E96C06">
      <w:pPr>
        <w:rPr>
          <w:rFonts w:cstheme="minorHAnsi"/>
        </w:rPr>
      </w:pPr>
    </w:p>
    <w:p w14:paraId="50B0E2F4" w14:textId="6DA9514C" w:rsidR="000F2812" w:rsidRDefault="004F06A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Key </w:t>
      </w:r>
      <w:r w:rsidR="000F2812" w:rsidRPr="000F2812">
        <w:rPr>
          <w:rFonts w:cstheme="minorHAnsi"/>
          <w:b/>
          <w:bCs/>
          <w:u w:val="single"/>
        </w:rPr>
        <w:t xml:space="preserve">Regulatory </w:t>
      </w:r>
      <w:r>
        <w:rPr>
          <w:rFonts w:cstheme="minorHAnsi"/>
          <w:b/>
          <w:bCs/>
          <w:u w:val="single"/>
        </w:rPr>
        <w:t>F</w:t>
      </w:r>
      <w:r w:rsidR="000F2812" w:rsidRPr="000F2812">
        <w:rPr>
          <w:rFonts w:cstheme="minorHAnsi"/>
          <w:b/>
          <w:bCs/>
          <w:u w:val="single"/>
        </w:rPr>
        <w:t xml:space="preserve">ocus </w:t>
      </w:r>
      <w:r>
        <w:rPr>
          <w:rFonts w:cstheme="minorHAnsi"/>
          <w:b/>
          <w:bCs/>
          <w:u w:val="single"/>
        </w:rPr>
        <w:t>A</w:t>
      </w:r>
      <w:r w:rsidR="000F2812" w:rsidRPr="000F2812">
        <w:rPr>
          <w:rFonts w:cstheme="minorHAnsi"/>
          <w:b/>
          <w:bCs/>
          <w:u w:val="single"/>
        </w:rPr>
        <w:t>reas</w:t>
      </w:r>
    </w:p>
    <w:p w14:paraId="13A0B192" w14:textId="0FE3A788" w:rsidR="00A9151F" w:rsidRPr="00A9151F" w:rsidRDefault="00A9151F">
      <w:pPr>
        <w:rPr>
          <w:rFonts w:cstheme="minorHAnsi"/>
        </w:rPr>
      </w:pPr>
      <w:r>
        <w:rPr>
          <w:rFonts w:cstheme="minorHAnsi"/>
        </w:rPr>
        <w:t xml:space="preserve">This list </w:t>
      </w:r>
      <w:r w:rsidR="007E12E3">
        <w:rPr>
          <w:rFonts w:cstheme="minorHAnsi"/>
        </w:rPr>
        <w:t xml:space="preserve">is a summary of key regulatory considerations for FAC.  </w:t>
      </w:r>
      <w:r w:rsidR="004C021B">
        <w:rPr>
          <w:rFonts w:cstheme="minorHAnsi"/>
        </w:rPr>
        <w:t xml:space="preserve">A detailed legal and regulatory issues list is maintained by FAC.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351"/>
      </w:tblGrid>
      <w:tr w:rsidR="00A9151F" w:rsidRPr="0018334C" w14:paraId="68734DBF" w14:textId="77777777" w:rsidTr="0089451F">
        <w:tc>
          <w:tcPr>
            <w:tcW w:w="1271" w:type="dxa"/>
            <w:shd w:val="clear" w:color="auto" w:fill="D9D9D9" w:themeFill="background1" w:themeFillShade="D9"/>
          </w:tcPr>
          <w:p w14:paraId="7F9C2EF7" w14:textId="64A1723E" w:rsidR="00A9151F" w:rsidRPr="0018334C" w:rsidRDefault="00A9151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8334C">
              <w:rPr>
                <w:rFonts w:cstheme="minorHAnsi"/>
                <w:b/>
                <w:bCs/>
                <w:sz w:val="20"/>
                <w:szCs w:val="20"/>
              </w:rPr>
              <w:t>Focus Area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C2B211" w14:textId="7B3FAC5C" w:rsidR="00A9151F" w:rsidRPr="0018334C" w:rsidRDefault="009759B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Understanding / </w:t>
            </w:r>
            <w:r w:rsidR="00A9151F" w:rsidRPr="0018334C">
              <w:rPr>
                <w:rFonts w:cstheme="minorHAnsi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3936053A" w14:textId="6FB1E1CB" w:rsidR="00A9151F" w:rsidRPr="0018334C" w:rsidRDefault="0018334C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To be reviewed</w:t>
            </w:r>
            <w:r w:rsidR="00A01413">
              <w:rPr>
                <w:rFonts w:cstheme="minorHAnsi"/>
                <w:b/>
                <w:bCs/>
                <w:sz w:val="20"/>
                <w:szCs w:val="20"/>
              </w:rPr>
              <w:t xml:space="preserve"> / Legal advice needed</w:t>
            </w:r>
          </w:p>
        </w:tc>
      </w:tr>
      <w:tr w:rsidR="000F2812" w:rsidRPr="00A9151F" w14:paraId="6F697DEB" w14:textId="77777777" w:rsidTr="0089451F">
        <w:tc>
          <w:tcPr>
            <w:tcW w:w="1271" w:type="dxa"/>
          </w:tcPr>
          <w:p w14:paraId="64F20921" w14:textId="28B71148" w:rsidR="000F2812" w:rsidRPr="009759B6" w:rsidRDefault="00A9151F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9759B6">
              <w:rPr>
                <w:rFonts w:cstheme="minorHAnsi"/>
                <w:b/>
                <w:bCs/>
                <w:sz w:val="16"/>
                <w:szCs w:val="16"/>
              </w:rPr>
              <w:t>Fund setup and oversight</w:t>
            </w:r>
          </w:p>
        </w:tc>
        <w:tc>
          <w:tcPr>
            <w:tcW w:w="4394" w:type="dxa"/>
          </w:tcPr>
          <w:p w14:paraId="42ED2A02" w14:textId="26F94C7B" w:rsidR="004C021B" w:rsidRPr="009759B6" w:rsidRDefault="00A9151F" w:rsidP="009759B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Funds can launch as UK regulated ICVC entit</w:t>
            </w:r>
            <w:r w:rsidR="0018334C" w:rsidRPr="009759B6">
              <w:rPr>
                <w:rFonts w:cstheme="minorHAnsi"/>
                <w:sz w:val="16"/>
                <w:szCs w:val="16"/>
              </w:rPr>
              <w:t xml:space="preserve">y </w:t>
            </w:r>
            <w:r w:rsidRPr="009759B6">
              <w:rPr>
                <w:rFonts w:cstheme="minorHAnsi"/>
                <w:sz w:val="16"/>
                <w:szCs w:val="16"/>
              </w:rPr>
              <w:t>under the UK OEIC regulations 2001</w:t>
            </w:r>
          </w:p>
          <w:p w14:paraId="34552E93" w14:textId="4A11B143" w:rsidR="004C021B" w:rsidRPr="009759B6" w:rsidRDefault="004C021B" w:rsidP="009759B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That the existing responsibilities of the ACD, Fund Manager and Depository can be fulfilled for funds operating on FAC</w:t>
            </w:r>
          </w:p>
        </w:tc>
        <w:tc>
          <w:tcPr>
            <w:tcW w:w="3351" w:type="dxa"/>
          </w:tcPr>
          <w:p w14:paraId="1F924585" w14:textId="7E2AE928" w:rsidR="000F2812" w:rsidRPr="009759B6" w:rsidRDefault="00A9151F" w:rsidP="001833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 xml:space="preserve">Validate that we can launch a tokenised fund share </w:t>
            </w:r>
            <w:r w:rsidR="0018334C" w:rsidRPr="009759B6">
              <w:rPr>
                <w:rFonts w:cstheme="minorHAnsi"/>
                <w:sz w:val="16"/>
                <w:szCs w:val="16"/>
              </w:rPr>
              <w:t>and operate a distributed ledger under an OEIC umbrella</w:t>
            </w:r>
          </w:p>
          <w:p w14:paraId="4BAB09DE" w14:textId="359E5D55" w:rsidR="0018334C" w:rsidRPr="009759B6" w:rsidRDefault="0018334C" w:rsidP="001833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Validate that an existing OEIC umbrella can be used to launch a tokenised share class and/or tokenise an existing share class in a split register</w:t>
            </w:r>
          </w:p>
          <w:p w14:paraId="42E89358" w14:textId="4B41CF63" w:rsidR="0018334C" w:rsidRPr="009759B6" w:rsidRDefault="0018334C" w:rsidP="001833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Validate roles and responsibilities defined within the regs are maintained</w:t>
            </w:r>
          </w:p>
        </w:tc>
      </w:tr>
      <w:tr w:rsidR="000F2812" w:rsidRPr="00A9151F" w14:paraId="61665428" w14:textId="77777777" w:rsidTr="0089451F">
        <w:tc>
          <w:tcPr>
            <w:tcW w:w="1271" w:type="dxa"/>
          </w:tcPr>
          <w:p w14:paraId="3D10903D" w14:textId="152BDB7B" w:rsidR="000F2812" w:rsidRPr="009759B6" w:rsidRDefault="00A9151F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9759B6">
              <w:rPr>
                <w:rFonts w:cstheme="minorHAnsi"/>
                <w:b/>
                <w:bCs/>
                <w:sz w:val="16"/>
                <w:szCs w:val="16"/>
              </w:rPr>
              <w:t>KYC/AML</w:t>
            </w:r>
          </w:p>
        </w:tc>
        <w:tc>
          <w:tcPr>
            <w:tcW w:w="4394" w:type="dxa"/>
          </w:tcPr>
          <w:p w14:paraId="1DDA9B18" w14:textId="5ACEF79B" w:rsidR="0018334C" w:rsidRPr="009759B6" w:rsidRDefault="0018334C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That KYC/AML responsibilities can be undertake</w:t>
            </w:r>
            <w:r w:rsidR="00855D30" w:rsidRPr="009759B6">
              <w:rPr>
                <w:rFonts w:cstheme="minorHAnsi"/>
                <w:sz w:val="16"/>
                <w:szCs w:val="16"/>
              </w:rPr>
              <w:t>n</w:t>
            </w:r>
            <w:r w:rsidRPr="009759B6">
              <w:rPr>
                <w:rFonts w:cstheme="minorHAnsi"/>
                <w:sz w:val="16"/>
                <w:szCs w:val="16"/>
              </w:rPr>
              <w:t xml:space="preserve"> ‘at the boundary’ of the network on the investor node and can be shared with other entities on the network requiring confirmation of an </w:t>
            </w:r>
            <w:proofErr w:type="gramStart"/>
            <w:r w:rsidRPr="009759B6">
              <w:rPr>
                <w:rFonts w:cstheme="minorHAnsi"/>
                <w:sz w:val="16"/>
                <w:szCs w:val="16"/>
              </w:rPr>
              <w:t>investors</w:t>
            </w:r>
            <w:proofErr w:type="gramEnd"/>
            <w:r w:rsidRPr="009759B6">
              <w:rPr>
                <w:rFonts w:cstheme="minorHAnsi"/>
                <w:sz w:val="16"/>
                <w:szCs w:val="16"/>
              </w:rPr>
              <w:t xml:space="preserve"> identity</w:t>
            </w:r>
          </w:p>
          <w:p w14:paraId="46DCAA43" w14:textId="79BF29D6" w:rsidR="004C021B" w:rsidRPr="009759B6" w:rsidRDefault="0018334C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 xml:space="preserve">That the Network Operator will KYC node operators when joining the network and the node operator then has responsibility for any </w:t>
            </w:r>
            <w:proofErr w:type="gramStart"/>
            <w:r w:rsidRPr="009759B6">
              <w:rPr>
                <w:rFonts w:cstheme="minorHAnsi"/>
                <w:sz w:val="16"/>
                <w:szCs w:val="16"/>
              </w:rPr>
              <w:t>investors</w:t>
            </w:r>
            <w:proofErr w:type="gramEnd"/>
            <w:r w:rsidRPr="009759B6">
              <w:rPr>
                <w:rFonts w:cstheme="minorHAnsi"/>
                <w:sz w:val="16"/>
                <w:szCs w:val="16"/>
              </w:rPr>
              <w:t xml:space="preserve"> they introduce to the network via their node</w:t>
            </w:r>
          </w:p>
          <w:p w14:paraId="3F7A5558" w14:textId="50A83809" w:rsidR="004C021B" w:rsidRPr="009759B6" w:rsidRDefault="0018334C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That the Network Operator does not have any AML responsibilities</w:t>
            </w:r>
          </w:p>
        </w:tc>
        <w:tc>
          <w:tcPr>
            <w:tcW w:w="3351" w:type="dxa"/>
          </w:tcPr>
          <w:p w14:paraId="2654F771" w14:textId="7291BCEA" w:rsidR="004C021B" w:rsidRPr="009759B6" w:rsidRDefault="004C021B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Validate the ‘boundary and shared’ approach</w:t>
            </w:r>
            <w:r w:rsidR="00855D30" w:rsidRPr="009759B6">
              <w:rPr>
                <w:rFonts w:cstheme="minorHAnsi"/>
                <w:sz w:val="16"/>
                <w:szCs w:val="16"/>
              </w:rPr>
              <w:t xml:space="preserve"> and define the mechanisms by which an agreed KYC/AML approach can be adopted by all FAC participants</w:t>
            </w:r>
          </w:p>
          <w:p w14:paraId="33CCEF61" w14:textId="77777777" w:rsidR="004C021B" w:rsidRPr="009759B6" w:rsidRDefault="004C021B" w:rsidP="00855D3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Fully define the role and responsibilities of the network operator in relation to KYC/AML responsibilities</w:t>
            </w:r>
          </w:p>
          <w:p w14:paraId="4F15032B" w14:textId="77777777" w:rsidR="00855D30" w:rsidRPr="009759B6" w:rsidRDefault="00855D30">
            <w:pPr>
              <w:rPr>
                <w:rFonts w:cstheme="minorHAnsi"/>
                <w:sz w:val="16"/>
                <w:szCs w:val="16"/>
              </w:rPr>
            </w:pPr>
          </w:p>
          <w:p w14:paraId="5328DAFF" w14:textId="58083CE5" w:rsidR="00855D30" w:rsidRPr="009759B6" w:rsidRDefault="00855D3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2812" w:rsidRPr="00A9151F" w14:paraId="62163561" w14:textId="77777777" w:rsidTr="0089451F">
        <w:tc>
          <w:tcPr>
            <w:tcW w:w="1271" w:type="dxa"/>
          </w:tcPr>
          <w:p w14:paraId="2DB77579" w14:textId="14E189A3" w:rsidR="000F2812" w:rsidRPr="009759B6" w:rsidRDefault="00A9151F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9759B6">
              <w:rPr>
                <w:rFonts w:cstheme="minorHAnsi"/>
                <w:b/>
                <w:bCs/>
                <w:sz w:val="16"/>
                <w:szCs w:val="16"/>
              </w:rPr>
              <w:t>Client Money</w:t>
            </w:r>
            <w:r w:rsidR="00855D30" w:rsidRPr="009759B6">
              <w:rPr>
                <w:rFonts w:cstheme="minorHAnsi"/>
                <w:b/>
                <w:bCs/>
                <w:sz w:val="16"/>
                <w:szCs w:val="16"/>
              </w:rPr>
              <w:t xml:space="preserve"> and Cash Tokenisation</w:t>
            </w:r>
          </w:p>
        </w:tc>
        <w:tc>
          <w:tcPr>
            <w:tcW w:w="4394" w:type="dxa"/>
          </w:tcPr>
          <w:p w14:paraId="3E680604" w14:textId="77777777" w:rsidR="00E926AB" w:rsidRPr="009759B6" w:rsidRDefault="00E926AB" w:rsidP="00E926A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That a FAC cash token has the same legal status as a fiat currency and is regulated in the same way</w:t>
            </w:r>
          </w:p>
          <w:p w14:paraId="08821056" w14:textId="72D149EA" w:rsidR="004C021B" w:rsidRPr="00E926AB" w:rsidRDefault="004C021B" w:rsidP="00E926A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E926AB">
              <w:rPr>
                <w:rFonts w:cstheme="minorHAnsi"/>
                <w:sz w:val="16"/>
                <w:szCs w:val="16"/>
              </w:rPr>
              <w:t>That the responsibilities of an ACD can be delegated to a network Cash Exchange operator</w:t>
            </w:r>
          </w:p>
          <w:p w14:paraId="0F0A56FF" w14:textId="4DE9A73D" w:rsidR="004C021B" w:rsidRPr="009759B6" w:rsidRDefault="004C021B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That once cash tokens are issued cash held by a cash exchange is no longer client money but held in safekeeping against the tokens issued on the network</w:t>
            </w:r>
          </w:p>
          <w:p w14:paraId="298BB544" w14:textId="37277262" w:rsidR="00594A76" w:rsidRPr="009759B6" w:rsidRDefault="004C021B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 xml:space="preserve">That a cash exchange operator must be a licenced deposit taker approved </w:t>
            </w:r>
            <w:proofErr w:type="spellStart"/>
            <w:r w:rsidRPr="009759B6">
              <w:rPr>
                <w:rFonts w:cstheme="minorHAnsi"/>
                <w:sz w:val="16"/>
                <w:szCs w:val="16"/>
              </w:rPr>
              <w:t>b y</w:t>
            </w:r>
            <w:proofErr w:type="spellEnd"/>
            <w:r w:rsidRPr="009759B6">
              <w:rPr>
                <w:rFonts w:cstheme="minorHAnsi"/>
                <w:sz w:val="16"/>
                <w:szCs w:val="16"/>
              </w:rPr>
              <w:t xml:space="preserve"> the Bank of England</w:t>
            </w:r>
          </w:p>
          <w:p w14:paraId="70F2CDE1" w14:textId="6DAF0D02" w:rsidR="00855D30" w:rsidRPr="009759B6" w:rsidRDefault="00594A76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Existing regulated entities approved for operating with fiat currency do not require a separate authorisation to operate as a digital asset service provider under AMLD5/FATF rules</w:t>
            </w:r>
          </w:p>
          <w:p w14:paraId="00D9B571" w14:textId="0C67FA0E" w:rsidR="00855D30" w:rsidRPr="009759B6" w:rsidRDefault="00855D30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That a regulated fund can issue cash tokens through a cash exchange backed by its own cash assets for the purpose of settling investor transactions</w:t>
            </w:r>
          </w:p>
          <w:p w14:paraId="72226EDB" w14:textId="50C2B6D6" w:rsidR="00855D30" w:rsidRPr="009759B6" w:rsidRDefault="00855D30" w:rsidP="009759B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That a regulated fund can maintain as part of its assets an ‘on ledger’ box or other liquidity pool of cash tokens held for the purposes of managing investor settlement</w:t>
            </w:r>
          </w:p>
        </w:tc>
        <w:tc>
          <w:tcPr>
            <w:tcW w:w="3351" w:type="dxa"/>
          </w:tcPr>
          <w:p w14:paraId="6F9F4C6E" w14:textId="5A7AC05A" w:rsidR="00855D30" w:rsidRPr="009B3BD0" w:rsidRDefault="00855D30" w:rsidP="00594A76">
            <w:pPr>
              <w:pStyle w:val="ListParagraph"/>
              <w:numPr>
                <w:ilvl w:val="0"/>
                <w:numId w:val="3"/>
              </w:numPr>
              <w:ind w:left="360"/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Further analysis required to confirm the operating structure and mandate of a cash exchange and its relationship with the ACD of a fund operating on the FAC network</w:t>
            </w:r>
          </w:p>
          <w:p w14:paraId="59D1A48E" w14:textId="6E4A21DD" w:rsidR="00594A76" w:rsidRPr="009B3BD0" w:rsidRDefault="00855D30" w:rsidP="009B3BD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 xml:space="preserve">Further analysis required to confirm issuance and accounting practices </w:t>
            </w:r>
            <w:r w:rsidR="00E926AB" w:rsidRPr="009759B6">
              <w:rPr>
                <w:rFonts w:cstheme="minorHAnsi"/>
                <w:sz w:val="16"/>
                <w:szCs w:val="16"/>
              </w:rPr>
              <w:t>for funds</w:t>
            </w:r>
            <w:r w:rsidRPr="009759B6">
              <w:rPr>
                <w:rFonts w:cstheme="minorHAnsi"/>
                <w:sz w:val="16"/>
                <w:szCs w:val="16"/>
              </w:rPr>
              <w:t xml:space="preserve"> settling investors trades in cash tokens</w:t>
            </w:r>
          </w:p>
          <w:p w14:paraId="2E03C7D6" w14:textId="2D3B9CDE" w:rsidR="00594A76" w:rsidRPr="009759B6" w:rsidRDefault="00594A76" w:rsidP="00594A76">
            <w:pPr>
              <w:pStyle w:val="ListParagraph"/>
              <w:numPr>
                <w:ilvl w:val="0"/>
                <w:numId w:val="3"/>
              </w:numPr>
              <w:ind w:left="360"/>
              <w:rPr>
                <w:rFonts w:cstheme="minorHAnsi"/>
                <w:sz w:val="16"/>
                <w:szCs w:val="16"/>
              </w:rPr>
            </w:pPr>
            <w:r w:rsidRPr="009759B6">
              <w:rPr>
                <w:rFonts w:cstheme="minorHAnsi"/>
                <w:sz w:val="16"/>
                <w:szCs w:val="16"/>
              </w:rPr>
              <w:t>Understand how regulations relating to digital asset service providers impact FAC participants</w:t>
            </w:r>
          </w:p>
        </w:tc>
      </w:tr>
      <w:tr w:rsidR="000F2812" w:rsidRPr="00A9151F" w14:paraId="4F7F5B70" w14:textId="77777777" w:rsidTr="0089451F">
        <w:tc>
          <w:tcPr>
            <w:tcW w:w="1271" w:type="dxa"/>
          </w:tcPr>
          <w:p w14:paraId="090AC5E0" w14:textId="4DAC93BF" w:rsidR="000F2812" w:rsidRPr="009759B6" w:rsidRDefault="00A9151F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9759B6">
              <w:rPr>
                <w:rFonts w:cstheme="minorHAnsi"/>
                <w:b/>
                <w:bCs/>
                <w:sz w:val="16"/>
                <w:szCs w:val="16"/>
              </w:rPr>
              <w:t>Asset Tokenisation</w:t>
            </w:r>
          </w:p>
        </w:tc>
        <w:tc>
          <w:tcPr>
            <w:tcW w:w="4394" w:type="dxa"/>
          </w:tcPr>
          <w:p w14:paraId="59E2DA2B" w14:textId="7EDD6701" w:rsidR="000F2812" w:rsidRPr="009B3BD0" w:rsidRDefault="009759B6" w:rsidP="0067238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B3BD0">
              <w:rPr>
                <w:rFonts w:cstheme="minorHAnsi"/>
                <w:sz w:val="16"/>
                <w:szCs w:val="16"/>
              </w:rPr>
              <w:t>That a tokenised fund share class will be regulated as a security</w:t>
            </w:r>
            <w:r w:rsidR="009E0049">
              <w:rPr>
                <w:rFonts w:cstheme="minorHAnsi"/>
                <w:sz w:val="16"/>
                <w:szCs w:val="16"/>
              </w:rPr>
              <w:t xml:space="preserve"> by the FCA</w:t>
            </w:r>
          </w:p>
          <w:p w14:paraId="1FC8D3A5" w14:textId="5F6E7A34" w:rsidR="009B3BD0" w:rsidRPr="009B3BD0" w:rsidRDefault="009759B6" w:rsidP="0067238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B3BD0">
              <w:rPr>
                <w:rFonts w:cstheme="minorHAnsi"/>
                <w:sz w:val="16"/>
                <w:szCs w:val="16"/>
              </w:rPr>
              <w:t xml:space="preserve">That a regulated </w:t>
            </w:r>
            <w:r w:rsidR="009B3BD0" w:rsidRPr="009B3BD0">
              <w:rPr>
                <w:rFonts w:cstheme="minorHAnsi"/>
                <w:sz w:val="16"/>
                <w:szCs w:val="16"/>
              </w:rPr>
              <w:t>fund constituted as a UK OEIC can issue a digital tokenised share and that the regulation of this will be the same as a conventionally issued share</w:t>
            </w:r>
          </w:p>
          <w:p w14:paraId="4FB060F0" w14:textId="77777777" w:rsidR="009759B6" w:rsidRPr="009B3BD0" w:rsidRDefault="009759B6" w:rsidP="0067238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B3BD0">
              <w:rPr>
                <w:rFonts w:cstheme="minorHAnsi"/>
                <w:sz w:val="16"/>
                <w:szCs w:val="16"/>
              </w:rPr>
              <w:t>That the owner of a FAC issued fund token will be considered the registered owner of the value in the fund represented by that token</w:t>
            </w:r>
          </w:p>
          <w:p w14:paraId="7D55CA9C" w14:textId="166C03AF" w:rsidR="009B3BD0" w:rsidRPr="009B3BD0" w:rsidRDefault="009B3BD0" w:rsidP="0067238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9B3BD0">
              <w:rPr>
                <w:rFonts w:cstheme="minorHAnsi"/>
                <w:sz w:val="16"/>
                <w:szCs w:val="16"/>
              </w:rPr>
              <w:t>That a fund can hold on ledger a box or store of issued tokens that are held for the purposes of managing investor settlement</w:t>
            </w:r>
          </w:p>
        </w:tc>
        <w:tc>
          <w:tcPr>
            <w:tcW w:w="3351" w:type="dxa"/>
          </w:tcPr>
          <w:p w14:paraId="61CA29C0" w14:textId="77777777" w:rsidR="000F2812" w:rsidRPr="00672382" w:rsidRDefault="00672382" w:rsidP="00672382">
            <w:pPr>
              <w:pStyle w:val="ListParagraph"/>
              <w:numPr>
                <w:ilvl w:val="0"/>
                <w:numId w:val="3"/>
              </w:numPr>
              <w:ind w:left="360"/>
              <w:rPr>
                <w:rFonts w:cstheme="minorHAnsi"/>
                <w:sz w:val="16"/>
                <w:szCs w:val="16"/>
              </w:rPr>
            </w:pPr>
            <w:r w:rsidRPr="00672382">
              <w:rPr>
                <w:rFonts w:cstheme="minorHAnsi"/>
                <w:sz w:val="16"/>
                <w:szCs w:val="16"/>
              </w:rPr>
              <w:t>Validate a regulated fund company can issue shares as digital tokens</w:t>
            </w:r>
          </w:p>
          <w:p w14:paraId="5F4AB144" w14:textId="71713ABF" w:rsidR="00672382" w:rsidRPr="00672382" w:rsidRDefault="00672382" w:rsidP="00672382">
            <w:pPr>
              <w:pStyle w:val="ListParagraph"/>
              <w:numPr>
                <w:ilvl w:val="0"/>
                <w:numId w:val="3"/>
              </w:numPr>
              <w:ind w:left="360"/>
              <w:rPr>
                <w:rFonts w:cstheme="minorHAnsi"/>
                <w:sz w:val="16"/>
                <w:szCs w:val="16"/>
              </w:rPr>
            </w:pPr>
            <w:r w:rsidRPr="00672382">
              <w:rPr>
                <w:rFonts w:cstheme="minorHAnsi"/>
                <w:sz w:val="16"/>
                <w:szCs w:val="16"/>
              </w:rPr>
              <w:t xml:space="preserve">Validate the operating model, risks and liabilities related to a fund holding a box or other such pool of issued fund tokens </w:t>
            </w:r>
          </w:p>
        </w:tc>
      </w:tr>
      <w:tr w:rsidR="000F2812" w:rsidRPr="00A9151F" w14:paraId="5B0F735D" w14:textId="77777777" w:rsidTr="0089451F">
        <w:tc>
          <w:tcPr>
            <w:tcW w:w="1271" w:type="dxa"/>
          </w:tcPr>
          <w:p w14:paraId="63E3BA71" w14:textId="28F130A5" w:rsidR="000F2812" w:rsidRPr="009759B6" w:rsidRDefault="00A9151F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9759B6">
              <w:rPr>
                <w:rFonts w:cstheme="minorHAnsi"/>
                <w:b/>
                <w:bCs/>
                <w:sz w:val="16"/>
                <w:szCs w:val="16"/>
              </w:rPr>
              <w:t>Distributed ledger</w:t>
            </w:r>
          </w:p>
        </w:tc>
        <w:tc>
          <w:tcPr>
            <w:tcW w:w="4394" w:type="dxa"/>
          </w:tcPr>
          <w:p w14:paraId="2CCD29B2" w14:textId="42566A6E" w:rsidR="000F2812" w:rsidRDefault="00103397" w:rsidP="0010339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103397">
              <w:rPr>
                <w:rFonts w:cstheme="minorHAnsi"/>
                <w:sz w:val="16"/>
                <w:szCs w:val="16"/>
              </w:rPr>
              <w:t xml:space="preserve">That the role of maintaining a share register </w:t>
            </w:r>
            <w:r>
              <w:rPr>
                <w:rFonts w:cstheme="minorHAnsi"/>
                <w:sz w:val="16"/>
                <w:szCs w:val="16"/>
              </w:rPr>
              <w:t xml:space="preserve">for a regulated fund </w:t>
            </w:r>
            <w:r w:rsidRPr="00103397">
              <w:rPr>
                <w:rFonts w:cstheme="minorHAnsi"/>
                <w:sz w:val="16"/>
                <w:szCs w:val="16"/>
              </w:rPr>
              <w:t>currently performed by a transfer agent can be distributed across investor and fund nodes</w:t>
            </w:r>
          </w:p>
          <w:p w14:paraId="3C492E94" w14:textId="77777777" w:rsidR="00103397" w:rsidRDefault="00103397" w:rsidP="0010339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That ownership of tokens on the network identifies the registered owner of the fund share</w:t>
            </w:r>
          </w:p>
          <w:p w14:paraId="4312E497" w14:textId="77777777" w:rsidR="007A0EFF" w:rsidRDefault="00103397" w:rsidP="007A0EF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That delivery of tokens is required to update the register and to finalise the change of title on a share  </w:t>
            </w:r>
          </w:p>
          <w:p w14:paraId="040BD497" w14:textId="77777777" w:rsidR="007A0EFF" w:rsidRDefault="007A0EFF" w:rsidP="007A0EF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That a transfer agent must retain a right to compel an investor to surrender their tokens in the event a fund closure or merger</w:t>
            </w:r>
          </w:p>
          <w:p w14:paraId="32746A54" w14:textId="417B5F91" w:rsidR="007E12E3" w:rsidRPr="007A0EFF" w:rsidRDefault="007E12E3" w:rsidP="007A0EF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That the transfer </w:t>
            </w:r>
            <w:proofErr w:type="gramStart"/>
            <w:r>
              <w:rPr>
                <w:rFonts w:cstheme="minorHAnsi"/>
                <w:sz w:val="16"/>
                <w:szCs w:val="16"/>
              </w:rPr>
              <w:t>agents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responsibility to ensure the operational resilience of their processes and integrity of the register is limited on a distributed ledger and that responsibilities and liabilities will need to be shared across network participants and the network operator. </w:t>
            </w:r>
          </w:p>
        </w:tc>
        <w:tc>
          <w:tcPr>
            <w:tcW w:w="3351" w:type="dxa"/>
          </w:tcPr>
          <w:p w14:paraId="34FB1BF9" w14:textId="77777777" w:rsidR="00103397" w:rsidRPr="00103397" w:rsidRDefault="00103397" w:rsidP="0010339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103397">
              <w:rPr>
                <w:rFonts w:cstheme="minorHAnsi"/>
                <w:sz w:val="16"/>
                <w:szCs w:val="16"/>
              </w:rPr>
              <w:lastRenderedPageBreak/>
              <w:t>Understand the impact on the Transfer Agents role, risk and liability resulting from the distribution of data across a network of participants</w:t>
            </w:r>
          </w:p>
          <w:p w14:paraId="542265BC" w14:textId="77777777" w:rsidR="000F2812" w:rsidRDefault="00103397" w:rsidP="0010339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103397">
              <w:rPr>
                <w:rFonts w:cstheme="minorHAnsi"/>
                <w:sz w:val="16"/>
                <w:szCs w:val="16"/>
              </w:rPr>
              <w:t>Validate that the methods used to maintain and share data across a distributed ledger preserve the integrity and status of the register in law.</w:t>
            </w:r>
          </w:p>
          <w:p w14:paraId="371FD3DC" w14:textId="35CF33C3" w:rsidR="007A0EFF" w:rsidRPr="007A0EFF" w:rsidRDefault="007A0EFF" w:rsidP="007A0EF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Is delivery legally enforceable?  Can an investor who cannot deliver their tokens be considered to have lost the value of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those tokens and any rights over the shares altogether? </w:t>
            </w:r>
          </w:p>
        </w:tc>
      </w:tr>
      <w:tr w:rsidR="0018334C" w:rsidRPr="00A9151F" w14:paraId="208F7656" w14:textId="77777777" w:rsidTr="0089451F">
        <w:tc>
          <w:tcPr>
            <w:tcW w:w="1271" w:type="dxa"/>
          </w:tcPr>
          <w:p w14:paraId="15F78A3D" w14:textId="0153F364" w:rsidR="0018334C" w:rsidRPr="009759B6" w:rsidRDefault="001833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9759B6">
              <w:rPr>
                <w:rFonts w:cstheme="minorHAnsi"/>
                <w:b/>
                <w:bCs/>
                <w:sz w:val="16"/>
                <w:szCs w:val="16"/>
              </w:rPr>
              <w:lastRenderedPageBreak/>
              <w:t>Private Key Security</w:t>
            </w:r>
          </w:p>
        </w:tc>
        <w:tc>
          <w:tcPr>
            <w:tcW w:w="4394" w:type="dxa"/>
          </w:tcPr>
          <w:p w14:paraId="406DC90B" w14:textId="09E6B6B3" w:rsidR="00C21EAE" w:rsidRPr="007E12E3" w:rsidRDefault="00C21EAE" w:rsidP="007E12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7E12E3">
              <w:rPr>
                <w:rFonts w:cstheme="minorHAnsi"/>
                <w:sz w:val="16"/>
                <w:szCs w:val="16"/>
              </w:rPr>
              <w:t>That the security of private keys is a critical requirement for all participants of a distributed network</w:t>
            </w:r>
          </w:p>
          <w:p w14:paraId="5883D382" w14:textId="3C3466D3" w:rsidR="00C21EAE" w:rsidRPr="007E12E3" w:rsidRDefault="00C21EAE" w:rsidP="007E12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7E12E3">
              <w:rPr>
                <w:rFonts w:cstheme="minorHAnsi"/>
                <w:sz w:val="16"/>
                <w:szCs w:val="16"/>
              </w:rPr>
              <w:t xml:space="preserve">That custody of investor assets </w:t>
            </w:r>
            <w:r w:rsidR="00414126" w:rsidRPr="007E12E3">
              <w:rPr>
                <w:rFonts w:cstheme="minorHAnsi"/>
                <w:sz w:val="16"/>
                <w:szCs w:val="16"/>
              </w:rPr>
              <w:t>on FAC w</w:t>
            </w:r>
            <w:r w:rsidRPr="007E12E3">
              <w:rPr>
                <w:rFonts w:cstheme="minorHAnsi"/>
                <w:sz w:val="16"/>
                <w:szCs w:val="16"/>
              </w:rPr>
              <w:t xml:space="preserve">ill be interpreted as custody of the private keys that </w:t>
            </w:r>
            <w:r w:rsidR="00414126" w:rsidRPr="007E12E3">
              <w:rPr>
                <w:rFonts w:cstheme="minorHAnsi"/>
                <w:sz w:val="16"/>
                <w:szCs w:val="16"/>
              </w:rPr>
              <w:t>control those assets</w:t>
            </w:r>
          </w:p>
          <w:p w14:paraId="08C1C417" w14:textId="04F96358" w:rsidR="00414126" w:rsidRPr="007E12E3" w:rsidRDefault="00C21EAE" w:rsidP="007E12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7E12E3">
              <w:rPr>
                <w:rFonts w:cstheme="minorHAnsi"/>
                <w:sz w:val="16"/>
                <w:szCs w:val="16"/>
              </w:rPr>
              <w:t xml:space="preserve">That there are </w:t>
            </w:r>
            <w:r w:rsidR="00414126" w:rsidRPr="007E12E3">
              <w:rPr>
                <w:rFonts w:cstheme="minorHAnsi"/>
                <w:sz w:val="16"/>
                <w:szCs w:val="16"/>
              </w:rPr>
              <w:t>currently no officially sanctioned guidelines or standards that apply to key management in a financial services context</w:t>
            </w:r>
          </w:p>
          <w:p w14:paraId="547EF1C4" w14:textId="350E2574" w:rsidR="00414126" w:rsidRPr="007E12E3" w:rsidRDefault="00414126" w:rsidP="007E12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7E12E3">
              <w:rPr>
                <w:rFonts w:cstheme="minorHAnsi"/>
                <w:sz w:val="16"/>
                <w:szCs w:val="16"/>
              </w:rPr>
              <w:t>Assume FAC will have to adhere to the highest level of security practice in relation to private keys and security of nodes</w:t>
            </w:r>
          </w:p>
        </w:tc>
        <w:tc>
          <w:tcPr>
            <w:tcW w:w="3351" w:type="dxa"/>
          </w:tcPr>
          <w:p w14:paraId="02B365DF" w14:textId="1F4D5D65" w:rsidR="0018334C" w:rsidRDefault="00C21EAE" w:rsidP="00C21EA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C21EAE">
              <w:rPr>
                <w:rFonts w:cstheme="minorHAnsi"/>
                <w:sz w:val="16"/>
                <w:szCs w:val="16"/>
              </w:rPr>
              <w:t>Further analysis needed to define the standards that FAC node operators will be required to adhere to and the contingent risks and liabilities associated with this</w:t>
            </w:r>
          </w:p>
          <w:p w14:paraId="7604A04A" w14:textId="49B7D15F" w:rsidR="00414126" w:rsidRDefault="00414126" w:rsidP="00C21EA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Confirm UK stance on key management as aa custodial service</w:t>
            </w:r>
          </w:p>
          <w:p w14:paraId="250DE178" w14:textId="45AE1D9B" w:rsidR="00C21EAE" w:rsidRPr="00C21EAE" w:rsidRDefault="00C21EAE" w:rsidP="00C21EA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Further definition of the responsibilities and powers of the network operator to enforce security </w:t>
            </w:r>
            <w:r w:rsidR="00414126">
              <w:rPr>
                <w:rFonts w:cstheme="minorHAnsi"/>
                <w:sz w:val="16"/>
                <w:szCs w:val="16"/>
              </w:rPr>
              <w:t>controls on network participants and revoke their participation</w:t>
            </w:r>
          </w:p>
        </w:tc>
      </w:tr>
      <w:tr w:rsidR="00855D30" w:rsidRPr="00A9151F" w14:paraId="55E6F880" w14:textId="77777777" w:rsidTr="0089451F">
        <w:tc>
          <w:tcPr>
            <w:tcW w:w="1271" w:type="dxa"/>
          </w:tcPr>
          <w:p w14:paraId="279B4826" w14:textId="66E61DBA" w:rsidR="00855D30" w:rsidRPr="009759B6" w:rsidRDefault="00855D3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9759B6">
              <w:rPr>
                <w:rFonts w:cstheme="minorHAnsi"/>
                <w:b/>
                <w:bCs/>
                <w:sz w:val="16"/>
                <w:szCs w:val="16"/>
              </w:rPr>
              <w:t>Smart Contracts</w:t>
            </w:r>
          </w:p>
        </w:tc>
        <w:tc>
          <w:tcPr>
            <w:tcW w:w="4394" w:type="dxa"/>
          </w:tcPr>
          <w:p w14:paraId="20827EE1" w14:textId="5499D57E" w:rsidR="00414126" w:rsidRPr="007E12E3" w:rsidRDefault="00414126" w:rsidP="007E12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7E12E3">
              <w:rPr>
                <w:rFonts w:cstheme="minorHAnsi"/>
                <w:sz w:val="16"/>
                <w:szCs w:val="16"/>
              </w:rPr>
              <w:t xml:space="preserve">That transactions </w:t>
            </w:r>
            <w:r w:rsidR="009E0049" w:rsidRPr="007E12E3">
              <w:rPr>
                <w:rFonts w:cstheme="minorHAnsi"/>
                <w:sz w:val="16"/>
                <w:szCs w:val="16"/>
              </w:rPr>
              <w:t>undertaken on</w:t>
            </w:r>
            <w:r w:rsidRPr="007E12E3">
              <w:rPr>
                <w:rFonts w:cstheme="minorHAnsi"/>
                <w:sz w:val="16"/>
                <w:szCs w:val="16"/>
              </w:rPr>
              <w:t xml:space="preserve"> the FAC network will be legally enforceable</w:t>
            </w:r>
          </w:p>
          <w:p w14:paraId="0B2B9155" w14:textId="26B77FAD" w:rsidR="00414126" w:rsidRPr="007E12E3" w:rsidRDefault="00414126" w:rsidP="007E12E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6"/>
                <w:szCs w:val="16"/>
              </w:rPr>
            </w:pPr>
            <w:r w:rsidRPr="007E12E3">
              <w:rPr>
                <w:rFonts w:cstheme="minorHAnsi"/>
                <w:sz w:val="16"/>
                <w:szCs w:val="16"/>
              </w:rPr>
              <w:t>That final settlement on ledger by exchange of tokens will be considered legal final settlement of the contract</w:t>
            </w:r>
          </w:p>
        </w:tc>
        <w:tc>
          <w:tcPr>
            <w:tcW w:w="3351" w:type="dxa"/>
          </w:tcPr>
          <w:p w14:paraId="03226A5F" w14:textId="3D0C83C9" w:rsidR="00855D30" w:rsidRDefault="00414126" w:rsidP="0041412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414126">
              <w:rPr>
                <w:rFonts w:cstheme="minorHAnsi"/>
                <w:sz w:val="16"/>
                <w:szCs w:val="16"/>
              </w:rPr>
              <w:t xml:space="preserve">Review and define </w:t>
            </w:r>
            <w:r>
              <w:rPr>
                <w:rFonts w:cstheme="minorHAnsi"/>
                <w:sz w:val="16"/>
                <w:szCs w:val="16"/>
              </w:rPr>
              <w:t xml:space="preserve">existing fund </w:t>
            </w:r>
            <w:r w:rsidRPr="00414126">
              <w:rPr>
                <w:rFonts w:cstheme="minorHAnsi"/>
                <w:sz w:val="16"/>
                <w:szCs w:val="16"/>
              </w:rPr>
              <w:t>terms and conditions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414126">
              <w:rPr>
                <w:rFonts w:cstheme="minorHAnsi"/>
                <w:sz w:val="16"/>
                <w:szCs w:val="16"/>
              </w:rPr>
              <w:t>to</w:t>
            </w:r>
            <w:r>
              <w:rPr>
                <w:rFonts w:cstheme="minorHAnsi"/>
                <w:sz w:val="16"/>
                <w:szCs w:val="16"/>
              </w:rPr>
              <w:t xml:space="preserve"> ensure</w:t>
            </w:r>
            <w:r w:rsidRPr="00414126">
              <w:rPr>
                <w:rFonts w:cstheme="minorHAnsi"/>
                <w:sz w:val="16"/>
                <w:szCs w:val="16"/>
              </w:rPr>
              <w:t xml:space="preserve"> a FAC transaction</w:t>
            </w:r>
            <w:r w:rsidR="00FA02B9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FA02B9">
              <w:rPr>
                <w:rFonts w:cstheme="minorHAnsi"/>
                <w:sz w:val="16"/>
                <w:szCs w:val="16"/>
              </w:rPr>
              <w:t xml:space="preserve">is </w:t>
            </w:r>
            <w:r w:rsidRPr="00414126">
              <w:rPr>
                <w:rFonts w:cstheme="minorHAnsi"/>
                <w:sz w:val="16"/>
                <w:szCs w:val="16"/>
              </w:rPr>
              <w:t xml:space="preserve"> legally</w:t>
            </w:r>
            <w:proofErr w:type="gramEnd"/>
            <w:r w:rsidRPr="00414126">
              <w:rPr>
                <w:rFonts w:cstheme="minorHAnsi"/>
                <w:sz w:val="16"/>
                <w:szCs w:val="16"/>
              </w:rPr>
              <w:t xml:space="preserve"> enforceable.</w:t>
            </w:r>
          </w:p>
          <w:p w14:paraId="21730DD9" w14:textId="2F2E1D4C" w:rsidR="00414126" w:rsidRPr="00414126" w:rsidRDefault="00414126" w:rsidP="0041412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Define a template application for a new investor to a fund and a contract note.</w:t>
            </w:r>
          </w:p>
        </w:tc>
      </w:tr>
    </w:tbl>
    <w:p w14:paraId="1F69A9F8" w14:textId="33AA518E" w:rsidR="000F2812" w:rsidRDefault="000F2812">
      <w:pPr>
        <w:rPr>
          <w:rFonts w:cstheme="minorHAnsi"/>
        </w:rPr>
      </w:pPr>
    </w:p>
    <w:p w14:paraId="75712EE6" w14:textId="3A29694F" w:rsidR="000F2812" w:rsidRDefault="000F2812">
      <w:pPr>
        <w:rPr>
          <w:rFonts w:cstheme="minorHAnsi"/>
        </w:rPr>
      </w:pPr>
    </w:p>
    <w:p w14:paraId="61B9D22A" w14:textId="77777777" w:rsidR="000F2812" w:rsidRPr="000F2812" w:rsidRDefault="000F2812">
      <w:pPr>
        <w:rPr>
          <w:rFonts w:cstheme="minorHAnsi"/>
        </w:rPr>
      </w:pPr>
    </w:p>
    <w:sectPr w:rsidR="000F2812" w:rsidRPr="000F281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BD4F4" w14:textId="77777777" w:rsidR="00D00F7B" w:rsidRDefault="00D00F7B" w:rsidP="00D00F7B">
      <w:pPr>
        <w:spacing w:after="0" w:line="240" w:lineRule="auto"/>
      </w:pPr>
      <w:r>
        <w:separator/>
      </w:r>
    </w:p>
  </w:endnote>
  <w:endnote w:type="continuationSeparator" w:id="0">
    <w:p w14:paraId="3835FCAE" w14:textId="77777777" w:rsidR="00D00F7B" w:rsidRDefault="00D00F7B" w:rsidP="00D0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5ABE" w14:textId="41F26CC6" w:rsidR="00D00F7B" w:rsidRDefault="00D00F7B" w:rsidP="00D00F7B">
    <w:pPr>
      <w:pStyle w:val="Footer"/>
      <w:pBdr>
        <w:top w:val="single" w:sz="4" w:space="1" w:color="auto"/>
      </w:pBdr>
      <w:tabs>
        <w:tab w:val="left" w:pos="783"/>
      </w:tabs>
    </w:pPr>
    <w:r>
      <w:t>Draft v0.</w:t>
    </w:r>
    <w:r>
      <w:tab/>
      <w:t>1</w:t>
    </w:r>
    <w:r>
      <w:tab/>
      <w:t xml:space="preserve">Page </w:t>
    </w:r>
    <w:sdt>
      <w:sdtPr>
        <w:id w:val="18129893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Confidential</w:t>
        </w:r>
      </w:sdtContent>
    </w:sdt>
  </w:p>
  <w:p w14:paraId="1087F57F" w14:textId="0F1DEA62" w:rsidR="00D00F7B" w:rsidRDefault="00D00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0E10B" w14:textId="77777777" w:rsidR="00D00F7B" w:rsidRDefault="00D00F7B" w:rsidP="00D00F7B">
      <w:pPr>
        <w:spacing w:after="0" w:line="240" w:lineRule="auto"/>
      </w:pPr>
      <w:r>
        <w:separator/>
      </w:r>
    </w:p>
  </w:footnote>
  <w:footnote w:type="continuationSeparator" w:id="0">
    <w:p w14:paraId="32C4BC26" w14:textId="77777777" w:rsidR="00D00F7B" w:rsidRDefault="00D00F7B" w:rsidP="00D0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40DBE" w14:textId="3711C1FB" w:rsidR="00D00F7B" w:rsidRDefault="00D00F7B" w:rsidP="00D00F7B">
    <w:pPr>
      <w:pStyle w:val="Header"/>
      <w:pBdr>
        <w:bottom w:val="single" w:sz="4" w:space="1" w:color="auto"/>
      </w:pBdr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E89877E" wp14:editId="5EB386A3">
          <wp:simplePos x="0" y="0"/>
          <wp:positionH relativeFrom="column">
            <wp:posOffset>5856605</wp:posOffset>
          </wp:positionH>
          <wp:positionV relativeFrom="paragraph">
            <wp:posOffset>-449580</wp:posOffset>
          </wp:positionV>
          <wp:extent cx="725805" cy="7258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al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805" cy="725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0F7B">
      <w:rPr>
        <w:b/>
        <w:bCs/>
        <w:sz w:val="28"/>
        <w:szCs w:val="28"/>
      </w:rPr>
      <w:t>FAC Regulatory Impact Summary</w:t>
    </w:r>
  </w:p>
  <w:p w14:paraId="63729415" w14:textId="2A1988ED" w:rsidR="00D00F7B" w:rsidRPr="00D00F7B" w:rsidRDefault="00D00F7B" w:rsidP="00D00F7B">
    <w:pPr>
      <w:pStyle w:val="Header"/>
      <w:pBdr>
        <w:bottom w:val="single" w:sz="4" w:space="1" w:color="auto"/>
      </w:pBdr>
      <w:rPr>
        <w:b/>
        <w:bCs/>
        <w:color w:val="FF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A5638"/>
    <w:multiLevelType w:val="hybridMultilevel"/>
    <w:tmpl w:val="482897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32DF3"/>
    <w:multiLevelType w:val="hybridMultilevel"/>
    <w:tmpl w:val="F83E19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2B21C8"/>
    <w:multiLevelType w:val="hybridMultilevel"/>
    <w:tmpl w:val="2A22A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32C36"/>
    <w:multiLevelType w:val="hybridMultilevel"/>
    <w:tmpl w:val="C1B6F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C34AB"/>
    <w:multiLevelType w:val="hybridMultilevel"/>
    <w:tmpl w:val="70F85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203A3"/>
    <w:multiLevelType w:val="hybridMultilevel"/>
    <w:tmpl w:val="787CA0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BE23E6"/>
    <w:multiLevelType w:val="hybridMultilevel"/>
    <w:tmpl w:val="B220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860EB"/>
    <w:multiLevelType w:val="hybridMultilevel"/>
    <w:tmpl w:val="BCF83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MbIwszA2NTMzNzJR0lEKTi0uzszPAykwrgUAxaIQCCwAAAA="/>
  </w:docVars>
  <w:rsids>
    <w:rsidRoot w:val="00EC7BDE"/>
    <w:rsid w:val="000F2812"/>
    <w:rsid w:val="00103397"/>
    <w:rsid w:val="00143C51"/>
    <w:rsid w:val="0018334C"/>
    <w:rsid w:val="00414126"/>
    <w:rsid w:val="00430A41"/>
    <w:rsid w:val="004C021B"/>
    <w:rsid w:val="004F06A2"/>
    <w:rsid w:val="00594A76"/>
    <w:rsid w:val="006101B8"/>
    <w:rsid w:val="00672382"/>
    <w:rsid w:val="00781A82"/>
    <w:rsid w:val="007A0EFF"/>
    <w:rsid w:val="007C3B1C"/>
    <w:rsid w:val="007E12E3"/>
    <w:rsid w:val="00855D30"/>
    <w:rsid w:val="0089451F"/>
    <w:rsid w:val="009759B6"/>
    <w:rsid w:val="009B3BD0"/>
    <w:rsid w:val="009E0049"/>
    <w:rsid w:val="00A01413"/>
    <w:rsid w:val="00A527DA"/>
    <w:rsid w:val="00A74734"/>
    <w:rsid w:val="00A9151F"/>
    <w:rsid w:val="00C21EAE"/>
    <w:rsid w:val="00D00F7B"/>
    <w:rsid w:val="00D102A1"/>
    <w:rsid w:val="00DC49D0"/>
    <w:rsid w:val="00E178D2"/>
    <w:rsid w:val="00E77B88"/>
    <w:rsid w:val="00E926AB"/>
    <w:rsid w:val="00E96C06"/>
    <w:rsid w:val="00EC4B48"/>
    <w:rsid w:val="00EC7BDE"/>
    <w:rsid w:val="00F7453D"/>
    <w:rsid w:val="00FA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BB4DA1"/>
  <w15:chartTrackingRefBased/>
  <w15:docId w15:val="{93D25754-0E68-4269-B67D-EF18C29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eGrid">
    <w:name w:val="Table Grid"/>
    <w:basedOn w:val="TableNormal"/>
    <w:uiPriority w:val="39"/>
    <w:rsid w:val="00A5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A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00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7B"/>
  </w:style>
  <w:style w:type="paragraph" w:styleId="Footer">
    <w:name w:val="footer"/>
    <w:basedOn w:val="Normal"/>
    <w:link w:val="FooterChar"/>
    <w:uiPriority w:val="99"/>
    <w:unhideWhenUsed/>
    <w:rsid w:val="00D00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Baldwin</dc:creator>
  <cp:keywords/>
  <dc:description/>
  <cp:lastModifiedBy>Chris Baldwin</cp:lastModifiedBy>
  <cp:revision>15</cp:revision>
  <dcterms:created xsi:type="dcterms:W3CDTF">2020-05-20T07:19:00Z</dcterms:created>
  <dcterms:modified xsi:type="dcterms:W3CDTF">2020-07-16T08:21:00Z</dcterms:modified>
</cp:coreProperties>
</file>