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65F78" w14:textId="7FE83A65" w:rsidR="00AF6A3B" w:rsidRDefault="00816893">
      <w:pPr>
        <w:jc w:val="center"/>
      </w:pPr>
      <w:r>
        <w:rPr>
          <w:b/>
          <w:bCs/>
          <w:sz w:val="32"/>
          <w:szCs w:val="32"/>
        </w:rPr>
        <w:t xml:space="preserve">FAC </w:t>
      </w:r>
      <w:r w:rsidR="006F131C">
        <w:rPr>
          <w:b/>
          <w:bCs/>
          <w:sz w:val="32"/>
          <w:szCs w:val="32"/>
        </w:rPr>
        <w:t xml:space="preserve">Fund Launch </w:t>
      </w:r>
      <w:r w:rsidR="000E5A72">
        <w:rPr>
          <w:b/>
          <w:bCs/>
          <w:sz w:val="32"/>
          <w:szCs w:val="32"/>
        </w:rPr>
        <w:t xml:space="preserve">Pilot </w:t>
      </w:r>
      <w:r w:rsidR="00E116A8">
        <w:rPr>
          <w:b/>
          <w:bCs/>
          <w:sz w:val="32"/>
          <w:szCs w:val="32"/>
        </w:rPr>
        <w:t xml:space="preserve">– Outline </w:t>
      </w:r>
      <w:r w:rsidR="006F131C">
        <w:rPr>
          <w:b/>
          <w:bCs/>
          <w:sz w:val="32"/>
          <w:szCs w:val="32"/>
        </w:rPr>
        <w:t>Test Plan</w:t>
      </w:r>
    </w:p>
    <w:p w14:paraId="58B65F79" w14:textId="77777777" w:rsidR="00AF6A3B" w:rsidRPr="006F131C" w:rsidRDefault="00AF6A3B">
      <w:pPr>
        <w:jc w:val="center"/>
        <w:rPr>
          <w:b/>
          <w:bCs/>
          <w:sz w:val="36"/>
          <w:szCs w:val="36"/>
        </w:rPr>
      </w:pPr>
    </w:p>
    <w:p w14:paraId="35B37DDF" w14:textId="481F67E3" w:rsidR="006F131C" w:rsidRDefault="006F131C" w:rsidP="006F131C">
      <w:pPr>
        <w:jc w:val="both"/>
      </w:pPr>
      <w:r w:rsidRPr="006F131C">
        <w:t>The aim of th</w:t>
      </w:r>
      <w:r>
        <w:t>e fund launch</w:t>
      </w:r>
      <w:r w:rsidRPr="006F131C">
        <w:t xml:space="preserve"> pilot is to establish a ‘close to real’ sandbox operating environment, in which we will launch and operate a tokenised fund on a distributed ledger.  This will exercise the end-to-end funds process and will include all oversight and reporting functions necessary to reflect the normal operation of a mutual fund, properly and effectively.  The pilot will run over an approximately 8-week period starting in Q3/4 2020.</w:t>
      </w:r>
    </w:p>
    <w:p w14:paraId="63E2DA55" w14:textId="77777777" w:rsidR="006F131C" w:rsidRPr="006F131C" w:rsidRDefault="006F131C" w:rsidP="006F131C">
      <w:pPr>
        <w:jc w:val="both"/>
      </w:pPr>
    </w:p>
    <w:p w14:paraId="41F0A4A3" w14:textId="77E14867" w:rsidR="006F131C" w:rsidRDefault="006F131C" w:rsidP="006F131C">
      <w:pPr>
        <w:jc w:val="both"/>
      </w:pPr>
      <w:r w:rsidRPr="006F131C">
        <w:t>The primary business objective is to confirm the feasibility of delivering a transformational platform for funds servicing, demonstrating significant operational and cost benefits to its participants, and achieving industry and regulatory support for a live implementation.</w:t>
      </w:r>
    </w:p>
    <w:p w14:paraId="18A38890" w14:textId="77777777" w:rsidR="006F131C" w:rsidRPr="006F131C" w:rsidRDefault="006F131C" w:rsidP="006F131C">
      <w:pPr>
        <w:jc w:val="both"/>
      </w:pPr>
    </w:p>
    <w:p w14:paraId="47E8C5C6" w14:textId="61265192" w:rsidR="006F131C" w:rsidRPr="006F131C" w:rsidRDefault="006F131C" w:rsidP="006F131C">
      <w:pPr>
        <w:jc w:val="both"/>
      </w:pPr>
      <w:r w:rsidRPr="006F131C">
        <w:t xml:space="preserve">The pilot will be focused on the </w:t>
      </w:r>
      <w:r>
        <w:t>expected go to market version</w:t>
      </w:r>
      <w:r w:rsidRPr="006F131C">
        <w:t xml:space="preserve"> of FAC: a market platform for many participants to operate on, supporting the launch of a new kind of tokenised fund which is issued directly on the distributed ledger, with no support from conventional issuance structures.  The experience and learning from the pilot will contribute to the planning for a live production implementation. </w:t>
      </w:r>
    </w:p>
    <w:p w14:paraId="1BF39316" w14:textId="77777777" w:rsidR="006A2BE9" w:rsidRDefault="006A2BE9">
      <w:pPr>
        <w:jc w:val="both"/>
        <w:rPr>
          <w:rStyle w:val="a2"/>
          <w:i w:val="0"/>
          <w:lang w:val="en-US" w:eastAsia="zh-CN"/>
        </w:rPr>
      </w:pPr>
    </w:p>
    <w:p w14:paraId="5E6621D1" w14:textId="6A5E6BC9" w:rsidR="006A2BE9" w:rsidRDefault="006A2BE9">
      <w:pPr>
        <w:jc w:val="both"/>
        <w:rPr>
          <w:rStyle w:val="a2"/>
          <w:b/>
          <w:bCs/>
          <w:i w:val="0"/>
          <w:lang w:val="en-US" w:eastAsia="zh-CN"/>
        </w:rPr>
      </w:pPr>
      <w:r w:rsidRPr="006A2BE9">
        <w:rPr>
          <w:rStyle w:val="a2"/>
          <w:b/>
          <w:bCs/>
          <w:i w:val="0"/>
          <w:lang w:val="en-US" w:eastAsia="zh-CN"/>
        </w:rPr>
        <w:t>Overview of Pilot Process</w:t>
      </w:r>
    </w:p>
    <w:p w14:paraId="4359F215" w14:textId="63D2D701" w:rsidR="006A2BE9" w:rsidRDefault="006A2BE9">
      <w:pPr>
        <w:jc w:val="both"/>
        <w:rPr>
          <w:rStyle w:val="a2"/>
          <w:i w:val="0"/>
          <w:lang w:val="en-US" w:eastAsia="zh-CN"/>
        </w:rPr>
      </w:pPr>
    </w:p>
    <w:p w14:paraId="2B3E233B" w14:textId="2BF87B56" w:rsidR="006F131C" w:rsidRPr="00701AB8" w:rsidRDefault="001D42BE" w:rsidP="00701AB8">
      <w:pPr>
        <w:jc w:val="both"/>
        <w:rPr>
          <w:iCs/>
          <w:lang w:val="en-GB" w:eastAsia="zh-CN"/>
        </w:rPr>
      </w:pPr>
      <w:r w:rsidRPr="00701AB8">
        <w:rPr>
          <w:iCs/>
          <w:lang w:val="en-GB" w:eastAsia="zh-CN"/>
        </w:rPr>
        <w:t xml:space="preserve">FAC will deploy a dedicated instance of an FAC Distributed Ledger </w:t>
      </w:r>
      <w:r w:rsidR="006F131C" w:rsidRPr="00701AB8">
        <w:rPr>
          <w:iCs/>
          <w:lang w:val="en-GB" w:eastAsia="zh-CN"/>
        </w:rPr>
        <w:t xml:space="preserve">network </w:t>
      </w:r>
      <w:r w:rsidRPr="00701AB8">
        <w:rPr>
          <w:iCs/>
          <w:lang w:val="en-GB" w:eastAsia="zh-CN"/>
        </w:rPr>
        <w:t>to support the fund</w:t>
      </w:r>
      <w:r w:rsidR="006F131C" w:rsidRPr="00701AB8">
        <w:rPr>
          <w:iCs/>
          <w:lang w:val="en-GB" w:eastAsia="zh-CN"/>
        </w:rPr>
        <w:t xml:space="preserve"> launch</w:t>
      </w:r>
      <w:r w:rsidRPr="00701AB8">
        <w:rPr>
          <w:iCs/>
          <w:lang w:val="en-GB" w:eastAsia="zh-CN"/>
        </w:rPr>
        <w:t xml:space="preserve"> pilot</w:t>
      </w:r>
      <w:r w:rsidR="00B92150" w:rsidRPr="00701AB8">
        <w:rPr>
          <w:iCs/>
          <w:lang w:val="en-GB" w:eastAsia="zh-CN"/>
        </w:rPr>
        <w:t>.</w:t>
      </w:r>
      <w:r w:rsidR="00701AB8">
        <w:rPr>
          <w:iCs/>
          <w:lang w:val="en-GB" w:eastAsia="zh-CN"/>
        </w:rPr>
        <w:t xml:space="preserve">  </w:t>
      </w:r>
      <w:r w:rsidRPr="00701AB8">
        <w:rPr>
          <w:iCs/>
          <w:lang w:val="en-GB" w:eastAsia="zh-CN"/>
        </w:rPr>
        <w:t xml:space="preserve">The </w:t>
      </w:r>
      <w:r w:rsidR="006F131C" w:rsidRPr="00701AB8">
        <w:rPr>
          <w:iCs/>
          <w:lang w:val="en-GB" w:eastAsia="zh-CN"/>
        </w:rPr>
        <w:t>testing will involve</w:t>
      </w:r>
      <w:r w:rsidRPr="00701AB8">
        <w:rPr>
          <w:iCs/>
          <w:lang w:val="en-GB" w:eastAsia="zh-CN"/>
        </w:rPr>
        <w:t xml:space="preserve"> launch</w:t>
      </w:r>
      <w:r w:rsidR="006F131C" w:rsidRPr="00701AB8">
        <w:rPr>
          <w:iCs/>
          <w:lang w:val="en-GB" w:eastAsia="zh-CN"/>
        </w:rPr>
        <w:t>ing</w:t>
      </w:r>
      <w:r w:rsidRPr="00701AB8">
        <w:rPr>
          <w:iCs/>
          <w:lang w:val="en-GB" w:eastAsia="zh-CN"/>
        </w:rPr>
        <w:t xml:space="preserve"> a fund onto the FAC platform</w:t>
      </w:r>
      <w:r w:rsidR="006F131C" w:rsidRPr="00701AB8">
        <w:rPr>
          <w:iCs/>
          <w:lang w:val="en-GB" w:eastAsia="zh-CN"/>
        </w:rPr>
        <w:t xml:space="preserve"> </w:t>
      </w:r>
      <w:r w:rsidRPr="00701AB8">
        <w:rPr>
          <w:iCs/>
          <w:lang w:val="en-GB" w:eastAsia="zh-CN"/>
        </w:rPr>
        <w:t xml:space="preserve">with </w:t>
      </w:r>
      <w:r w:rsidR="006F131C" w:rsidRPr="00701AB8">
        <w:rPr>
          <w:iCs/>
          <w:lang w:val="en-GB" w:eastAsia="zh-CN"/>
        </w:rPr>
        <w:t xml:space="preserve">a </w:t>
      </w:r>
      <w:r w:rsidRPr="00701AB8">
        <w:rPr>
          <w:iCs/>
          <w:lang w:val="en-GB" w:eastAsia="zh-CN"/>
        </w:rPr>
        <w:t xml:space="preserve">tokenised share issuance and conduct ‘true-to-life’ fund operations with the active collaboration of all parties involved in </w:t>
      </w:r>
      <w:r w:rsidR="006F131C" w:rsidRPr="00701AB8">
        <w:rPr>
          <w:iCs/>
          <w:lang w:val="en-GB" w:eastAsia="zh-CN"/>
        </w:rPr>
        <w:t xml:space="preserve">servicing </w:t>
      </w:r>
      <w:r w:rsidRPr="00701AB8">
        <w:rPr>
          <w:iCs/>
          <w:lang w:val="en-GB" w:eastAsia="zh-CN"/>
        </w:rPr>
        <w:t xml:space="preserve">the fund. </w:t>
      </w:r>
    </w:p>
    <w:p w14:paraId="166CCA51" w14:textId="77777777" w:rsidR="006F131C" w:rsidRDefault="006F131C" w:rsidP="00701AB8">
      <w:pPr>
        <w:jc w:val="both"/>
        <w:rPr>
          <w:iCs/>
          <w:lang w:val="en-GB" w:eastAsia="zh-CN"/>
        </w:rPr>
      </w:pPr>
    </w:p>
    <w:p w14:paraId="2A8F2146" w14:textId="278D199D" w:rsidR="001D42BE" w:rsidRPr="00701AB8" w:rsidRDefault="001D42BE" w:rsidP="00701AB8">
      <w:pPr>
        <w:jc w:val="both"/>
        <w:rPr>
          <w:iCs/>
          <w:lang w:val="en-GB" w:eastAsia="zh-CN"/>
        </w:rPr>
      </w:pPr>
      <w:r w:rsidRPr="00701AB8">
        <w:rPr>
          <w:iCs/>
          <w:lang w:val="en-GB" w:eastAsia="zh-CN"/>
        </w:rPr>
        <w:t>The aim is to replicate as far as possible the end-to-end workflows of the fund involving off ledger parties where necessary (</w:t>
      </w:r>
      <w:proofErr w:type="spellStart"/>
      <w:r w:rsidRPr="00701AB8">
        <w:rPr>
          <w:iCs/>
          <w:lang w:val="en-GB" w:eastAsia="zh-CN"/>
        </w:rPr>
        <w:t>i.e</w:t>
      </w:r>
      <w:proofErr w:type="spellEnd"/>
      <w:r w:rsidRPr="00701AB8">
        <w:rPr>
          <w:iCs/>
          <w:lang w:val="en-GB" w:eastAsia="zh-CN"/>
        </w:rPr>
        <w:t xml:space="preserve"> fund accountant and custodian) so that the impact of the distributed ledger model can be fully evaluated</w:t>
      </w:r>
      <w:r w:rsidR="00701AB8" w:rsidRPr="00701AB8">
        <w:rPr>
          <w:iCs/>
          <w:lang w:val="en-GB" w:eastAsia="zh-CN"/>
        </w:rPr>
        <w:t>.</w:t>
      </w:r>
    </w:p>
    <w:p w14:paraId="497DA350" w14:textId="70472068" w:rsidR="00B92150" w:rsidRDefault="00B92150">
      <w:pPr>
        <w:jc w:val="both"/>
        <w:rPr>
          <w:iCs/>
          <w:lang w:val="en-GB" w:eastAsia="zh-CN"/>
        </w:rPr>
      </w:pPr>
    </w:p>
    <w:p w14:paraId="73B336E1" w14:textId="2FA6031D" w:rsidR="00767558" w:rsidRPr="00767558" w:rsidRDefault="00767558">
      <w:pPr>
        <w:jc w:val="both"/>
        <w:rPr>
          <w:b/>
          <w:bCs/>
          <w:iCs/>
          <w:lang w:val="en-GB" w:eastAsia="zh-CN"/>
        </w:rPr>
      </w:pPr>
      <w:r w:rsidRPr="00767558">
        <w:rPr>
          <w:b/>
          <w:bCs/>
          <w:iCs/>
          <w:lang w:val="en-GB" w:eastAsia="zh-CN"/>
        </w:rPr>
        <w:t>Preparation</w:t>
      </w:r>
    </w:p>
    <w:p w14:paraId="0ED22EEE" w14:textId="578112E6" w:rsidR="00767558" w:rsidRDefault="00767558">
      <w:pPr>
        <w:jc w:val="both"/>
        <w:rPr>
          <w:iCs/>
          <w:lang w:val="en-GB" w:eastAsia="zh-CN"/>
        </w:rPr>
      </w:pPr>
    </w:p>
    <w:p w14:paraId="2F355F7C" w14:textId="683AEA3F" w:rsidR="00E92A3F" w:rsidRDefault="00E92A3F">
      <w:pPr>
        <w:jc w:val="both"/>
        <w:rPr>
          <w:iCs/>
          <w:lang w:val="en-GB" w:eastAsia="zh-CN"/>
        </w:rPr>
      </w:pPr>
      <w:r>
        <w:rPr>
          <w:iCs/>
          <w:lang w:val="en-GB" w:eastAsia="zh-CN"/>
        </w:rPr>
        <w:t>Prior to the start of the pilot all participants will need a</w:t>
      </w:r>
      <w:r w:rsidR="00BA6E4B">
        <w:rPr>
          <w:iCs/>
          <w:lang w:val="en-GB" w:eastAsia="zh-CN"/>
        </w:rPr>
        <w:t xml:space="preserve">n </w:t>
      </w:r>
      <w:r>
        <w:rPr>
          <w:iCs/>
          <w:lang w:val="en-GB" w:eastAsia="zh-CN"/>
        </w:rPr>
        <w:t>understanding of the proposed operating model and the implications of adopting distributed ledgers and tokenisation. FAC will facilitate this though an induction process and there will be additional workshops to deep dive into how the network operates, the roles and responsibilities of participants and the legal and regulatory implications for launching a tokenised fund.</w:t>
      </w:r>
    </w:p>
    <w:p w14:paraId="48A405D8" w14:textId="77777777" w:rsidR="00767558" w:rsidRDefault="00767558">
      <w:pPr>
        <w:jc w:val="both"/>
        <w:rPr>
          <w:iCs/>
          <w:lang w:val="en-GB" w:eastAsia="zh-CN"/>
        </w:rPr>
      </w:pPr>
    </w:p>
    <w:p w14:paraId="29253A58" w14:textId="68E2F30F" w:rsidR="006A2BE9" w:rsidRPr="00B92150" w:rsidRDefault="00B92150">
      <w:pPr>
        <w:jc w:val="both"/>
        <w:rPr>
          <w:rStyle w:val="a2"/>
          <w:b/>
          <w:bCs/>
          <w:i w:val="0"/>
          <w:lang w:val="en-GB" w:eastAsia="zh-CN"/>
        </w:rPr>
      </w:pPr>
      <w:r w:rsidRPr="00B92150">
        <w:rPr>
          <w:b/>
          <w:bCs/>
          <w:iCs/>
          <w:lang w:val="en-GB" w:eastAsia="zh-CN"/>
        </w:rPr>
        <w:t>Scope of Testing</w:t>
      </w:r>
    </w:p>
    <w:p w14:paraId="7A3DD7CA" w14:textId="5BEA1BF5" w:rsidR="001D42BE" w:rsidRDefault="001D42BE">
      <w:pPr>
        <w:jc w:val="both"/>
        <w:rPr>
          <w:rStyle w:val="a2"/>
          <w:i w:val="0"/>
          <w:lang w:val="en-US" w:eastAsia="zh-CN"/>
        </w:rPr>
      </w:pPr>
    </w:p>
    <w:p w14:paraId="52C503AC" w14:textId="05B19E35" w:rsidR="00B92150" w:rsidRPr="00B92150" w:rsidRDefault="001D42BE">
      <w:pPr>
        <w:jc w:val="both"/>
        <w:rPr>
          <w:rStyle w:val="a2"/>
          <w:i w:val="0"/>
          <w:lang w:val="en-US" w:eastAsia="zh-CN"/>
        </w:rPr>
      </w:pPr>
      <w:r>
        <w:rPr>
          <w:rStyle w:val="a2"/>
          <w:i w:val="0"/>
          <w:lang w:val="en-US" w:eastAsia="zh-CN"/>
        </w:rPr>
        <w:t xml:space="preserve">Testing will follow the </w:t>
      </w:r>
      <w:r w:rsidR="00CB71A1">
        <w:rPr>
          <w:rStyle w:val="a2"/>
          <w:i w:val="0"/>
          <w:lang w:val="en-US" w:eastAsia="zh-CN"/>
        </w:rPr>
        <w:t xml:space="preserve">typical </w:t>
      </w:r>
      <w:r>
        <w:rPr>
          <w:rStyle w:val="a2"/>
          <w:i w:val="0"/>
          <w:lang w:val="en-US" w:eastAsia="zh-CN"/>
        </w:rPr>
        <w:t>‘day in the life of a fund’ workflow</w:t>
      </w:r>
      <w:r w:rsidR="00B92150">
        <w:rPr>
          <w:rStyle w:val="a2"/>
          <w:i w:val="0"/>
          <w:lang w:val="en-US" w:eastAsia="zh-CN"/>
        </w:rPr>
        <w:t xml:space="preserve"> (DITLOAF)</w:t>
      </w:r>
      <w:r>
        <w:rPr>
          <w:rStyle w:val="a2"/>
          <w:i w:val="0"/>
          <w:lang w:val="en-US" w:eastAsia="zh-CN"/>
        </w:rPr>
        <w:t>, from investors placing orders, through cut-off, valuation, pricing and settlement with all the associated controls, checks and decision points that are part of this process.</w:t>
      </w:r>
      <w:r w:rsidR="00401B89">
        <w:rPr>
          <w:rStyle w:val="a2"/>
          <w:i w:val="0"/>
          <w:lang w:val="en-US" w:eastAsia="zh-CN"/>
        </w:rPr>
        <w:t xml:space="preserve">  </w:t>
      </w:r>
    </w:p>
    <w:p w14:paraId="297F2154" w14:textId="0B25C46E" w:rsidR="002F4098" w:rsidRDefault="00B92150" w:rsidP="00B92150">
      <w:pPr>
        <w:spacing w:before="100" w:beforeAutospacing="1" w:after="100" w:afterAutospacing="1"/>
        <w:jc w:val="both"/>
      </w:pPr>
      <w:r w:rsidRPr="00B92150">
        <w:t>O</w:t>
      </w:r>
      <w:r>
        <w:t>n</w:t>
      </w:r>
      <w:r w:rsidRPr="00B92150">
        <w:t>ce launched, the fund will be operated by the participants through a series of DITLOAF business cycles</w:t>
      </w:r>
      <w:r w:rsidR="00506760">
        <w:t>.</w:t>
      </w:r>
      <w:r w:rsidRPr="00B92150">
        <w:t xml:space="preserve"> The workflow is very similar to a conventional</w:t>
      </w:r>
      <w:r w:rsidR="00506760">
        <w:t xml:space="preserve"> daily dealing forward priced</w:t>
      </w:r>
      <w:r w:rsidRPr="00B92150">
        <w:t xml:space="preserve"> fund flow, but there are significant differences in its execution that are achieved through the use of Distributed Ledger Technology</w:t>
      </w:r>
      <w:r w:rsidR="00B01761">
        <w:t xml:space="preserve"> and the testing will be designed to highlight </w:t>
      </w:r>
      <w:r w:rsidR="00513672">
        <w:t>these differences</w:t>
      </w:r>
      <w:r w:rsidR="00A91D9A">
        <w:t>.</w:t>
      </w:r>
    </w:p>
    <w:p w14:paraId="182E4EE1" w14:textId="5C0067AB" w:rsidR="00B01761" w:rsidRDefault="002F4098" w:rsidP="002F4098">
      <w:pPr>
        <w:widowControl/>
        <w:spacing w:after="160" w:line="259" w:lineRule="auto"/>
      </w:pPr>
      <w:r>
        <w:br w:type="page"/>
      </w:r>
    </w:p>
    <w:p w14:paraId="51F50152" w14:textId="3F312881" w:rsidR="00A91D9A" w:rsidRDefault="00A91D9A" w:rsidP="00B92150">
      <w:pPr>
        <w:spacing w:before="100" w:beforeAutospacing="1" w:after="100" w:afterAutospacing="1"/>
        <w:jc w:val="both"/>
      </w:pPr>
      <w:r>
        <w:lastRenderedPageBreak/>
        <w:t>The principle impacts on the funds servicing process are:</w:t>
      </w:r>
    </w:p>
    <w:p w14:paraId="56AEBFA2" w14:textId="041EEE61" w:rsidR="00CB71A1" w:rsidRPr="00A91D9A" w:rsidRDefault="00CB71A1" w:rsidP="00A91D9A">
      <w:pPr>
        <w:pStyle w:val="ListParagraph"/>
        <w:numPr>
          <w:ilvl w:val="0"/>
          <w:numId w:val="14"/>
        </w:numPr>
        <w:spacing w:before="100" w:beforeAutospacing="1" w:after="100" w:afterAutospacing="1"/>
        <w:jc w:val="both"/>
        <w:rPr>
          <w:lang w:val="en-GB"/>
        </w:rPr>
      </w:pPr>
      <w:r w:rsidRPr="00A91D9A">
        <w:rPr>
          <w:b/>
          <w:bCs/>
          <w:lang w:val="en-GB"/>
        </w:rPr>
        <w:t>Investor participation increases and becomes direct</w:t>
      </w:r>
      <w:r w:rsidRPr="00A91D9A">
        <w:rPr>
          <w:lang w:val="en-GB"/>
        </w:rPr>
        <w:t>.  Investors/ Concentrators will be active participants on the network, not at the other end of a Swift connection or a fax machine. They will manage their own data and they will have to approve any updates that impact their node on the ledger.</w:t>
      </w:r>
    </w:p>
    <w:p w14:paraId="737AF719" w14:textId="2CFC20A2" w:rsidR="00CB71A1" w:rsidRPr="00A91D9A" w:rsidRDefault="00CB71A1" w:rsidP="00A91D9A">
      <w:pPr>
        <w:pStyle w:val="ListParagraph"/>
        <w:numPr>
          <w:ilvl w:val="0"/>
          <w:numId w:val="14"/>
        </w:numPr>
        <w:spacing w:before="100" w:beforeAutospacing="1" w:after="100" w:afterAutospacing="1"/>
        <w:jc w:val="both"/>
        <w:rPr>
          <w:lang w:val="en-GB"/>
        </w:rPr>
      </w:pPr>
      <w:r w:rsidRPr="00A91D9A">
        <w:rPr>
          <w:b/>
          <w:bCs/>
          <w:lang w:val="en-GB"/>
        </w:rPr>
        <w:t xml:space="preserve">Tokens are like ‘bearer </w:t>
      </w:r>
      <w:proofErr w:type="gramStart"/>
      <w:r w:rsidRPr="00A91D9A">
        <w:rPr>
          <w:b/>
          <w:bCs/>
          <w:lang w:val="en-GB"/>
        </w:rPr>
        <w:t>shares’</w:t>
      </w:r>
      <w:proofErr w:type="gramEnd"/>
      <w:r w:rsidRPr="00A91D9A">
        <w:rPr>
          <w:lang w:val="en-GB"/>
        </w:rPr>
        <w:t>. Mutual fund shares (and most versions of cash) are currently dematerialised, and exist as book-entries.  The process of tokenisation effectively creates a ‘bearer share’ in a digital format. </w:t>
      </w:r>
    </w:p>
    <w:p w14:paraId="27D026E4" w14:textId="352E5319" w:rsidR="00CB71A1" w:rsidRPr="00A91D9A" w:rsidRDefault="00CB71A1" w:rsidP="00A91D9A">
      <w:pPr>
        <w:pStyle w:val="ListParagraph"/>
        <w:numPr>
          <w:ilvl w:val="0"/>
          <w:numId w:val="14"/>
        </w:numPr>
        <w:spacing w:before="100" w:beforeAutospacing="1" w:after="100" w:afterAutospacing="1"/>
        <w:jc w:val="both"/>
        <w:rPr>
          <w:lang w:val="en-GB"/>
        </w:rPr>
      </w:pPr>
      <w:r w:rsidRPr="00A91D9A">
        <w:rPr>
          <w:b/>
          <w:bCs/>
          <w:lang w:val="en-GB"/>
        </w:rPr>
        <w:t>The transaction record is the transaction</w:t>
      </w:r>
      <w:r w:rsidRPr="00A91D9A">
        <w:rPr>
          <w:lang w:val="en-GB"/>
        </w:rPr>
        <w:t>. On issuance, the fund token is transferred to the Investor node: that is the transaction and the transaction record.  It is immobilised at the node, in the Investor’s safekeeping, until the Investor delivers it back to the Fund node at redemption. </w:t>
      </w:r>
    </w:p>
    <w:p w14:paraId="3C3AF3B8" w14:textId="348BA8D7" w:rsidR="00CB71A1" w:rsidRPr="00A91D9A" w:rsidRDefault="00CB71A1" w:rsidP="00A91D9A">
      <w:pPr>
        <w:pStyle w:val="ListParagraph"/>
        <w:numPr>
          <w:ilvl w:val="0"/>
          <w:numId w:val="14"/>
        </w:numPr>
        <w:spacing w:before="100" w:beforeAutospacing="1" w:after="100" w:afterAutospacing="1"/>
        <w:jc w:val="both"/>
        <w:rPr>
          <w:lang w:val="en-GB"/>
        </w:rPr>
      </w:pPr>
      <w:r w:rsidRPr="00A91D9A">
        <w:rPr>
          <w:b/>
          <w:bCs/>
          <w:lang w:val="en-GB"/>
        </w:rPr>
        <w:t>There is no centralised register of shares</w:t>
      </w:r>
      <w:r w:rsidRPr="00A91D9A">
        <w:rPr>
          <w:lang w:val="en-GB"/>
        </w:rPr>
        <w:t>. The location of tokens at nodes defines the ledger. A TA can no longer claim primary authority over the ledger and cannot reassign ownership by simply updating their own records: tokens have to move and the Investors have to agree to that.</w:t>
      </w:r>
    </w:p>
    <w:p w14:paraId="5AB659CC" w14:textId="35D4BD57" w:rsidR="00DA3FCF" w:rsidRPr="00A91D9A" w:rsidRDefault="00CB71A1" w:rsidP="00A91D9A">
      <w:pPr>
        <w:pStyle w:val="ListParagraph"/>
        <w:numPr>
          <w:ilvl w:val="0"/>
          <w:numId w:val="14"/>
        </w:numPr>
        <w:spacing w:before="100" w:beforeAutospacing="1" w:after="100" w:afterAutospacing="1"/>
        <w:jc w:val="both"/>
        <w:rPr>
          <w:lang w:val="en-GB"/>
        </w:rPr>
      </w:pPr>
      <w:r w:rsidRPr="00A91D9A">
        <w:rPr>
          <w:b/>
          <w:bCs/>
          <w:lang w:val="en-GB"/>
        </w:rPr>
        <w:t>Tokenisation (of assets AND cash) redefines settlement</w:t>
      </w:r>
      <w:r w:rsidRPr="00A91D9A">
        <w:rPr>
          <w:lang w:val="en-GB"/>
        </w:rPr>
        <w:t xml:space="preserve">.  There is no need for intermediate client money accounts as settlement becomes a bilateral exchange of cash and assets where both parties must be present and authorise the transfer together. As a </w:t>
      </w:r>
      <w:proofErr w:type="gramStart"/>
      <w:r w:rsidRPr="00A91D9A">
        <w:rPr>
          <w:lang w:val="en-GB"/>
        </w:rPr>
        <w:t>consequence</w:t>
      </w:r>
      <w:proofErr w:type="gramEnd"/>
      <w:r w:rsidRPr="00A91D9A">
        <w:rPr>
          <w:lang w:val="en-GB"/>
        </w:rPr>
        <w:t xml:space="preserve"> the Transfer Agent has significantly less involvement with managing cash, and there is no longer a need to match cash receipts to deals or reconcile banks accounts to ledger transactions and balances.</w:t>
      </w:r>
    </w:p>
    <w:p w14:paraId="60210453" w14:textId="6FA15BBB" w:rsidR="00B92150" w:rsidRPr="00CB71A1" w:rsidRDefault="00DA3FCF" w:rsidP="00CB71A1">
      <w:pPr>
        <w:spacing w:before="100" w:beforeAutospacing="1" w:after="100" w:afterAutospacing="1"/>
        <w:jc w:val="both"/>
        <w:rPr>
          <w:rStyle w:val="a2"/>
          <w:i w:val="0"/>
          <w:iCs w:val="0"/>
        </w:rPr>
      </w:pPr>
      <w:r>
        <w:t xml:space="preserve">The test plan </w:t>
      </w:r>
      <w:r w:rsidR="00E116A8">
        <w:t xml:space="preserve">will </w:t>
      </w:r>
      <w:r>
        <w:t xml:space="preserve">also focus on </w:t>
      </w:r>
      <w:r w:rsidR="00E116A8">
        <w:t xml:space="preserve">identifying </w:t>
      </w:r>
      <w:r w:rsidR="00A91D9A">
        <w:t xml:space="preserve">the </w:t>
      </w:r>
      <w:r>
        <w:t xml:space="preserve">key </w:t>
      </w:r>
      <w:r w:rsidR="00A91D9A">
        <w:t xml:space="preserve">operation </w:t>
      </w:r>
      <w:r>
        <w:t xml:space="preserve">benefits identified in the earlier TA2.0 </w:t>
      </w:r>
      <w:proofErr w:type="spellStart"/>
      <w:r>
        <w:t>PoC</w:t>
      </w:r>
      <w:proofErr w:type="spellEnd"/>
      <w:r>
        <w:t xml:space="preserve"> exercise, specifically:</w:t>
      </w:r>
    </w:p>
    <w:p w14:paraId="135CD265" w14:textId="0DC07126" w:rsidR="00B01761" w:rsidRPr="00023936" w:rsidRDefault="00B01761" w:rsidP="00B01761">
      <w:pPr>
        <w:pStyle w:val="ListParagraph"/>
        <w:widowControl/>
        <w:numPr>
          <w:ilvl w:val="0"/>
          <w:numId w:val="10"/>
        </w:numPr>
        <w:spacing w:after="240" w:line="264" w:lineRule="auto"/>
        <w:rPr>
          <w:rFonts w:cs="Tahoma"/>
        </w:rPr>
      </w:pPr>
      <w:r>
        <w:rPr>
          <w:rFonts w:cs="Tahoma"/>
        </w:rPr>
        <w:t xml:space="preserve">Reduction in queries from </w:t>
      </w:r>
      <w:r w:rsidRPr="00023936">
        <w:rPr>
          <w:rFonts w:cs="Tahoma"/>
        </w:rPr>
        <w:t>Fund Manager</w:t>
      </w:r>
      <w:r>
        <w:rPr>
          <w:rFonts w:cs="Tahoma"/>
        </w:rPr>
        <w:t>s.</w:t>
      </w:r>
      <w:r w:rsidRPr="00023936">
        <w:rPr>
          <w:rFonts w:cs="Tahoma"/>
        </w:rPr>
        <w:t xml:space="preserve"> </w:t>
      </w:r>
    </w:p>
    <w:p w14:paraId="6B003B37" w14:textId="164FC836" w:rsidR="00B01761" w:rsidRPr="00023936" w:rsidRDefault="00B01761" w:rsidP="00B01761">
      <w:pPr>
        <w:pStyle w:val="ListParagraph"/>
        <w:widowControl/>
        <w:numPr>
          <w:ilvl w:val="0"/>
          <w:numId w:val="10"/>
        </w:numPr>
        <w:spacing w:after="240" w:line="264" w:lineRule="auto"/>
        <w:rPr>
          <w:rFonts w:cs="Tahoma"/>
        </w:rPr>
      </w:pPr>
      <w:r>
        <w:rPr>
          <w:rFonts w:cs="Tahoma"/>
        </w:rPr>
        <w:t>S</w:t>
      </w:r>
      <w:r w:rsidRPr="00023936">
        <w:rPr>
          <w:rFonts w:cs="Tahoma"/>
        </w:rPr>
        <w:t xml:space="preserve">ignificant reduction in processing time and risk </w:t>
      </w:r>
      <w:r>
        <w:rPr>
          <w:rFonts w:cs="Tahoma"/>
        </w:rPr>
        <w:t>for t</w:t>
      </w:r>
      <w:r w:rsidRPr="00023936">
        <w:rPr>
          <w:rFonts w:cs="Tahoma"/>
        </w:rPr>
        <w:t xml:space="preserve">ransaction </w:t>
      </w:r>
      <w:r>
        <w:rPr>
          <w:rFonts w:cs="Tahoma"/>
        </w:rPr>
        <w:t>m</w:t>
      </w:r>
      <w:r w:rsidRPr="00023936">
        <w:rPr>
          <w:rFonts w:cs="Tahoma"/>
        </w:rPr>
        <w:t xml:space="preserve">anagement and </w:t>
      </w:r>
      <w:r>
        <w:rPr>
          <w:rFonts w:cs="Tahoma"/>
        </w:rPr>
        <w:t>s</w:t>
      </w:r>
      <w:r w:rsidRPr="00023936">
        <w:rPr>
          <w:rFonts w:cs="Tahoma"/>
        </w:rPr>
        <w:t>ettlement</w:t>
      </w:r>
      <w:r>
        <w:rPr>
          <w:rFonts w:cs="Tahoma"/>
        </w:rPr>
        <w:t xml:space="preserve"> activities.</w:t>
      </w:r>
    </w:p>
    <w:p w14:paraId="2BB9A599" w14:textId="7CE27281" w:rsidR="00B01761" w:rsidRPr="00B01761" w:rsidRDefault="00B01761" w:rsidP="00B01761">
      <w:pPr>
        <w:pStyle w:val="ListParagraph"/>
        <w:widowControl/>
        <w:numPr>
          <w:ilvl w:val="0"/>
          <w:numId w:val="10"/>
        </w:numPr>
        <w:spacing w:after="240" w:line="264" w:lineRule="auto"/>
        <w:rPr>
          <w:noProof/>
        </w:rPr>
      </w:pPr>
      <w:r>
        <w:rPr>
          <w:rFonts w:cs="Tahoma"/>
        </w:rPr>
        <w:t>S</w:t>
      </w:r>
      <w:r w:rsidRPr="00023936">
        <w:rPr>
          <w:rFonts w:cs="Tahoma"/>
        </w:rPr>
        <w:t xml:space="preserve">ignificant reduction in processing time and risk </w:t>
      </w:r>
      <w:r>
        <w:rPr>
          <w:rFonts w:cs="Tahoma"/>
        </w:rPr>
        <w:t>for r</w:t>
      </w:r>
      <w:r w:rsidRPr="00023936">
        <w:rPr>
          <w:rFonts w:cs="Tahoma"/>
        </w:rPr>
        <w:t>egistration</w:t>
      </w:r>
      <w:r>
        <w:rPr>
          <w:rFonts w:cs="Tahoma"/>
        </w:rPr>
        <w:t xml:space="preserve"> activities.</w:t>
      </w:r>
      <w:r w:rsidRPr="00023936">
        <w:rPr>
          <w:rFonts w:cs="Tahoma"/>
        </w:rPr>
        <w:t xml:space="preserve"> </w:t>
      </w:r>
    </w:p>
    <w:p w14:paraId="24F9C069" w14:textId="2F47AEC9" w:rsidR="006D7615" w:rsidRPr="00CB71A1" w:rsidRDefault="00B01761" w:rsidP="00CB71A1">
      <w:pPr>
        <w:pStyle w:val="ListParagraph"/>
        <w:widowControl/>
        <w:numPr>
          <w:ilvl w:val="0"/>
          <w:numId w:val="10"/>
        </w:numPr>
        <w:spacing w:after="240" w:line="264" w:lineRule="auto"/>
        <w:rPr>
          <w:rStyle w:val="a2"/>
          <w:i w:val="0"/>
          <w:iCs w:val="0"/>
          <w:noProof/>
        </w:rPr>
      </w:pPr>
      <w:r>
        <w:rPr>
          <w:rFonts w:cs="Tahoma"/>
        </w:rPr>
        <w:t>Elimination of conventional r</w:t>
      </w:r>
      <w:r w:rsidRPr="00B01761">
        <w:rPr>
          <w:rFonts w:cs="Tahoma"/>
        </w:rPr>
        <w:t>econciliation</w:t>
      </w:r>
      <w:r>
        <w:rPr>
          <w:rFonts w:cs="Tahoma"/>
        </w:rPr>
        <w:t xml:space="preserve"> function.</w:t>
      </w:r>
    </w:p>
    <w:p w14:paraId="0B5A7C77" w14:textId="179084BE" w:rsidR="00B92150" w:rsidRPr="006D7615" w:rsidRDefault="006D7615">
      <w:pPr>
        <w:jc w:val="both"/>
        <w:rPr>
          <w:rStyle w:val="a2"/>
          <w:b/>
          <w:bCs/>
          <w:i w:val="0"/>
          <w:lang w:val="en-US" w:eastAsia="zh-CN"/>
        </w:rPr>
      </w:pPr>
      <w:r w:rsidRPr="006D7615">
        <w:rPr>
          <w:rStyle w:val="a2"/>
          <w:b/>
          <w:bCs/>
          <w:i w:val="0"/>
          <w:lang w:val="en-US" w:eastAsia="zh-CN"/>
        </w:rPr>
        <w:t xml:space="preserve">Test </w:t>
      </w:r>
      <w:r w:rsidR="00253A6C">
        <w:rPr>
          <w:rStyle w:val="a2"/>
          <w:b/>
          <w:bCs/>
          <w:i w:val="0"/>
          <w:lang w:val="en-US" w:eastAsia="zh-CN"/>
        </w:rPr>
        <w:t>Scenarios</w:t>
      </w:r>
    </w:p>
    <w:p w14:paraId="4C8F4714" w14:textId="77777777" w:rsidR="00B92150" w:rsidRDefault="00B92150">
      <w:pPr>
        <w:jc w:val="both"/>
        <w:rPr>
          <w:rStyle w:val="a2"/>
          <w:i w:val="0"/>
          <w:lang w:val="en-US" w:eastAsia="zh-CN"/>
        </w:rPr>
      </w:pPr>
    </w:p>
    <w:p w14:paraId="3F3F68D6" w14:textId="12066906" w:rsidR="001D42BE" w:rsidRDefault="00401B89">
      <w:pPr>
        <w:jc w:val="both"/>
        <w:rPr>
          <w:rStyle w:val="a2"/>
          <w:i w:val="0"/>
          <w:lang w:val="en-US" w:eastAsia="zh-CN"/>
        </w:rPr>
      </w:pPr>
      <w:r>
        <w:rPr>
          <w:rStyle w:val="a2"/>
          <w:i w:val="0"/>
          <w:lang w:val="en-US" w:eastAsia="zh-CN"/>
        </w:rPr>
        <w:t xml:space="preserve">Detailed test planning will be </w:t>
      </w:r>
      <w:r w:rsidR="00A91D9A">
        <w:rPr>
          <w:rStyle w:val="a2"/>
          <w:i w:val="0"/>
          <w:lang w:val="en-US" w:eastAsia="zh-CN"/>
        </w:rPr>
        <w:t>scenario based and derived from the core set of workflows defined below.</w:t>
      </w:r>
    </w:p>
    <w:p w14:paraId="71ACE8E0" w14:textId="116EC1AE" w:rsidR="001D42BE" w:rsidRDefault="001D42BE">
      <w:pPr>
        <w:jc w:val="both"/>
        <w:rPr>
          <w:rStyle w:val="a2"/>
          <w:i w:val="0"/>
          <w:lang w:val="en-US" w:eastAsia="zh-CN"/>
        </w:rPr>
      </w:pPr>
    </w:p>
    <w:tbl>
      <w:tblPr>
        <w:tblStyle w:val="TableGrid"/>
        <w:tblW w:w="0" w:type="auto"/>
        <w:tblLook w:val="04A0" w:firstRow="1" w:lastRow="0" w:firstColumn="1" w:lastColumn="0" w:noHBand="0" w:noVBand="1"/>
      </w:tblPr>
      <w:tblGrid>
        <w:gridCol w:w="4106"/>
        <w:gridCol w:w="4910"/>
      </w:tblGrid>
      <w:tr w:rsidR="001D42BE" w:rsidRPr="00EE35F3" w14:paraId="0F721DD2" w14:textId="77777777" w:rsidTr="00401B89">
        <w:trPr>
          <w:cantSplit/>
          <w:tblHeader/>
        </w:trPr>
        <w:tc>
          <w:tcPr>
            <w:tcW w:w="4106" w:type="dxa"/>
            <w:shd w:val="clear" w:color="auto" w:fill="D9D9D9" w:themeFill="background1" w:themeFillShade="D9"/>
          </w:tcPr>
          <w:p w14:paraId="2C2DB2F5" w14:textId="77777777" w:rsidR="001D42BE" w:rsidRPr="00EE35F3" w:rsidRDefault="001D42BE" w:rsidP="001220EE">
            <w:pPr>
              <w:rPr>
                <w:b/>
                <w:bCs/>
                <w:sz w:val="20"/>
                <w:szCs w:val="20"/>
              </w:rPr>
            </w:pPr>
            <w:r w:rsidRPr="00EE35F3">
              <w:rPr>
                <w:b/>
                <w:bCs/>
                <w:sz w:val="20"/>
                <w:szCs w:val="20"/>
              </w:rPr>
              <w:t>Test scenario</w:t>
            </w:r>
          </w:p>
        </w:tc>
        <w:tc>
          <w:tcPr>
            <w:tcW w:w="4910" w:type="dxa"/>
            <w:shd w:val="clear" w:color="auto" w:fill="D9D9D9" w:themeFill="background1" w:themeFillShade="D9"/>
          </w:tcPr>
          <w:p w14:paraId="70372ACE" w14:textId="77777777" w:rsidR="001D42BE" w:rsidRPr="00EE35F3" w:rsidRDefault="001D42BE" w:rsidP="001220EE">
            <w:pPr>
              <w:rPr>
                <w:b/>
                <w:bCs/>
                <w:sz w:val="20"/>
                <w:szCs w:val="20"/>
              </w:rPr>
            </w:pPr>
            <w:r w:rsidRPr="00EE35F3">
              <w:rPr>
                <w:b/>
                <w:bCs/>
                <w:sz w:val="20"/>
                <w:szCs w:val="20"/>
              </w:rPr>
              <w:t>Rationale / Benefit</w:t>
            </w:r>
          </w:p>
        </w:tc>
      </w:tr>
      <w:tr w:rsidR="001D42BE" w:rsidRPr="00EE35F3" w14:paraId="72A43813" w14:textId="77777777" w:rsidTr="00401B89">
        <w:tc>
          <w:tcPr>
            <w:tcW w:w="4106" w:type="dxa"/>
          </w:tcPr>
          <w:p w14:paraId="27EEB3DE" w14:textId="77777777" w:rsidR="001D42BE" w:rsidRPr="00701AB8" w:rsidRDefault="001D42BE" w:rsidP="001220EE">
            <w:pPr>
              <w:rPr>
                <w:sz w:val="20"/>
                <w:szCs w:val="20"/>
              </w:rPr>
            </w:pPr>
            <w:r w:rsidRPr="00701AB8">
              <w:rPr>
                <w:sz w:val="20"/>
                <w:szCs w:val="20"/>
              </w:rPr>
              <w:t>Setup and maintain a fund.</w:t>
            </w:r>
          </w:p>
        </w:tc>
        <w:tc>
          <w:tcPr>
            <w:tcW w:w="4910" w:type="dxa"/>
          </w:tcPr>
          <w:p w14:paraId="0B77166E" w14:textId="77777777" w:rsidR="001D42BE" w:rsidRPr="00701AB8" w:rsidRDefault="001D42BE" w:rsidP="001220EE">
            <w:pPr>
              <w:rPr>
                <w:sz w:val="20"/>
                <w:szCs w:val="20"/>
              </w:rPr>
            </w:pPr>
            <w:r w:rsidRPr="00701AB8">
              <w:rPr>
                <w:sz w:val="20"/>
                <w:szCs w:val="20"/>
              </w:rPr>
              <w:t>Demonstrates improvement in time to market for launching new funds.  Customer experience and revenue opportunities.</w:t>
            </w:r>
          </w:p>
        </w:tc>
      </w:tr>
      <w:tr w:rsidR="001D42BE" w:rsidRPr="00EE35F3" w14:paraId="5E861B94" w14:textId="77777777" w:rsidTr="00401B89">
        <w:tc>
          <w:tcPr>
            <w:tcW w:w="4106" w:type="dxa"/>
          </w:tcPr>
          <w:p w14:paraId="210820FF" w14:textId="77777777" w:rsidR="001D42BE" w:rsidRPr="00701AB8" w:rsidRDefault="001D42BE" w:rsidP="001220EE">
            <w:pPr>
              <w:pStyle w:val="NoSpacing"/>
              <w:rPr>
                <w:sz w:val="20"/>
                <w:szCs w:val="20"/>
              </w:rPr>
            </w:pPr>
            <w:r w:rsidRPr="00701AB8">
              <w:rPr>
                <w:sz w:val="20"/>
                <w:szCs w:val="20"/>
              </w:rPr>
              <w:t>Convert Investor and Fund fiat currency at the Cash Exchange and issue cash tokens onto the network.</w:t>
            </w:r>
          </w:p>
        </w:tc>
        <w:tc>
          <w:tcPr>
            <w:tcW w:w="4910" w:type="dxa"/>
          </w:tcPr>
          <w:p w14:paraId="4FE6A649" w14:textId="77777777" w:rsidR="001D42BE" w:rsidRPr="00701AB8" w:rsidRDefault="001D42BE" w:rsidP="001220EE">
            <w:pPr>
              <w:rPr>
                <w:sz w:val="20"/>
                <w:szCs w:val="20"/>
              </w:rPr>
            </w:pPr>
            <w:r w:rsidRPr="00701AB8">
              <w:rPr>
                <w:sz w:val="20"/>
                <w:szCs w:val="20"/>
              </w:rPr>
              <w:t>Exercises the role of the Cash Exchange and its relationship to the bank.  Revenue generation from operating digital exchange</w:t>
            </w:r>
          </w:p>
        </w:tc>
      </w:tr>
      <w:tr w:rsidR="001D42BE" w:rsidRPr="00EE35F3" w14:paraId="63790E1D" w14:textId="77777777" w:rsidTr="00401B89">
        <w:tc>
          <w:tcPr>
            <w:tcW w:w="4106" w:type="dxa"/>
          </w:tcPr>
          <w:p w14:paraId="59DCED88" w14:textId="77777777" w:rsidR="001D42BE" w:rsidRPr="00701AB8" w:rsidRDefault="001D42BE" w:rsidP="001220EE">
            <w:pPr>
              <w:pStyle w:val="NoSpacing"/>
              <w:rPr>
                <w:sz w:val="20"/>
                <w:szCs w:val="20"/>
              </w:rPr>
            </w:pPr>
            <w:r w:rsidRPr="00701AB8">
              <w:rPr>
                <w:sz w:val="20"/>
                <w:szCs w:val="20"/>
              </w:rPr>
              <w:t>Issue tokenised units for the fund onto the network.</w:t>
            </w:r>
          </w:p>
        </w:tc>
        <w:tc>
          <w:tcPr>
            <w:tcW w:w="4910" w:type="dxa"/>
          </w:tcPr>
          <w:p w14:paraId="0B916269" w14:textId="77777777" w:rsidR="001D42BE" w:rsidRPr="00701AB8" w:rsidRDefault="001D42BE" w:rsidP="001220EE">
            <w:pPr>
              <w:rPr>
                <w:sz w:val="20"/>
                <w:szCs w:val="20"/>
              </w:rPr>
            </w:pPr>
            <w:r w:rsidRPr="00701AB8">
              <w:rPr>
                <w:sz w:val="20"/>
                <w:szCs w:val="20"/>
              </w:rPr>
              <w:t xml:space="preserve">Demonstrates the simplicity of fund issuance without the creation of a conventional asset </w:t>
            </w:r>
          </w:p>
        </w:tc>
      </w:tr>
      <w:tr w:rsidR="001D42BE" w:rsidRPr="00EE35F3" w14:paraId="7EFE6FDE" w14:textId="77777777" w:rsidTr="00401B89">
        <w:tc>
          <w:tcPr>
            <w:tcW w:w="4106" w:type="dxa"/>
          </w:tcPr>
          <w:p w14:paraId="361F62AD" w14:textId="77777777" w:rsidR="001D42BE" w:rsidRPr="00701AB8" w:rsidRDefault="001D42BE" w:rsidP="001220EE">
            <w:pPr>
              <w:pStyle w:val="NoSpacing"/>
              <w:rPr>
                <w:sz w:val="20"/>
                <w:szCs w:val="20"/>
              </w:rPr>
            </w:pPr>
            <w:r w:rsidRPr="00701AB8">
              <w:rPr>
                <w:sz w:val="20"/>
                <w:szCs w:val="20"/>
              </w:rPr>
              <w:t>Setup and maintain investor records.</w:t>
            </w:r>
          </w:p>
        </w:tc>
        <w:tc>
          <w:tcPr>
            <w:tcW w:w="4910" w:type="dxa"/>
          </w:tcPr>
          <w:p w14:paraId="6D194F27" w14:textId="77777777" w:rsidR="001D42BE" w:rsidRPr="00701AB8" w:rsidRDefault="001D42BE" w:rsidP="001220EE">
            <w:pPr>
              <w:rPr>
                <w:sz w:val="20"/>
                <w:szCs w:val="20"/>
              </w:rPr>
            </w:pPr>
            <w:r w:rsidRPr="00701AB8">
              <w:rPr>
                <w:sz w:val="20"/>
                <w:szCs w:val="20"/>
              </w:rPr>
              <w:t>Provides investors and service providers with experience of fund holding on FAC</w:t>
            </w:r>
          </w:p>
        </w:tc>
      </w:tr>
      <w:tr w:rsidR="001D42BE" w:rsidRPr="00EE35F3" w14:paraId="46F111EA" w14:textId="77777777" w:rsidTr="00401B89">
        <w:tc>
          <w:tcPr>
            <w:tcW w:w="4106" w:type="dxa"/>
          </w:tcPr>
          <w:p w14:paraId="02169CA6" w14:textId="3EA779EE" w:rsidR="001D42BE" w:rsidRPr="00701AB8" w:rsidRDefault="001D42BE" w:rsidP="001220EE">
            <w:pPr>
              <w:pStyle w:val="NoSpacing"/>
              <w:rPr>
                <w:sz w:val="20"/>
                <w:szCs w:val="20"/>
              </w:rPr>
            </w:pPr>
            <w:r w:rsidRPr="00701AB8">
              <w:rPr>
                <w:sz w:val="20"/>
                <w:szCs w:val="20"/>
              </w:rPr>
              <w:t xml:space="preserve">Place, track and </w:t>
            </w:r>
            <w:r w:rsidR="00A91D9A" w:rsidRPr="00701AB8">
              <w:rPr>
                <w:sz w:val="20"/>
                <w:szCs w:val="20"/>
              </w:rPr>
              <w:t>finalise</w:t>
            </w:r>
            <w:r w:rsidRPr="00701AB8">
              <w:rPr>
                <w:sz w:val="20"/>
                <w:szCs w:val="20"/>
              </w:rPr>
              <w:t xml:space="preserve"> investor buy, sell, transfer and switch operations with tokenised cash and assets on-ledger</w:t>
            </w:r>
            <w:r w:rsidR="00A91D9A" w:rsidRPr="00701AB8">
              <w:rPr>
                <w:sz w:val="20"/>
                <w:szCs w:val="20"/>
              </w:rPr>
              <w:t>.</w:t>
            </w:r>
          </w:p>
        </w:tc>
        <w:tc>
          <w:tcPr>
            <w:tcW w:w="4910" w:type="dxa"/>
          </w:tcPr>
          <w:p w14:paraId="38844FAA" w14:textId="77777777" w:rsidR="001D42BE" w:rsidRPr="00701AB8" w:rsidRDefault="001D42BE" w:rsidP="001220EE">
            <w:pPr>
              <w:rPr>
                <w:sz w:val="20"/>
                <w:szCs w:val="20"/>
              </w:rPr>
            </w:pPr>
            <w:r w:rsidRPr="00701AB8">
              <w:rPr>
                <w:sz w:val="20"/>
                <w:szCs w:val="20"/>
              </w:rPr>
              <w:t>Demonstrates operational efficiency, cost reduction, reduced settlement risk and elimination of reconciliation.</w:t>
            </w:r>
          </w:p>
        </w:tc>
      </w:tr>
      <w:tr w:rsidR="001D42BE" w:rsidRPr="00EE35F3" w14:paraId="52992FA4" w14:textId="77777777" w:rsidTr="00401B89">
        <w:tc>
          <w:tcPr>
            <w:tcW w:w="4106" w:type="dxa"/>
          </w:tcPr>
          <w:p w14:paraId="294910BB" w14:textId="77777777" w:rsidR="001D42BE" w:rsidRPr="00701AB8" w:rsidRDefault="001D42BE" w:rsidP="001220EE">
            <w:pPr>
              <w:pStyle w:val="NoSpacing"/>
              <w:rPr>
                <w:sz w:val="20"/>
                <w:szCs w:val="20"/>
              </w:rPr>
            </w:pPr>
            <w:r w:rsidRPr="00701AB8">
              <w:rPr>
                <w:sz w:val="20"/>
                <w:szCs w:val="20"/>
              </w:rPr>
              <w:t>Produce daily cash flow information against a cut-off point, load NAV prices and prices orders.</w:t>
            </w:r>
          </w:p>
        </w:tc>
        <w:tc>
          <w:tcPr>
            <w:tcW w:w="4910" w:type="dxa"/>
          </w:tcPr>
          <w:p w14:paraId="73139DC9" w14:textId="77777777" w:rsidR="001D42BE" w:rsidRPr="00701AB8" w:rsidRDefault="001D42BE" w:rsidP="001220EE">
            <w:pPr>
              <w:rPr>
                <w:sz w:val="20"/>
                <w:szCs w:val="20"/>
              </w:rPr>
            </w:pPr>
            <w:r w:rsidRPr="00701AB8">
              <w:rPr>
                <w:sz w:val="20"/>
                <w:szCs w:val="20"/>
              </w:rPr>
              <w:t>Demonstrates operational efficiency and cost reduction.</w:t>
            </w:r>
          </w:p>
        </w:tc>
      </w:tr>
      <w:tr w:rsidR="001D42BE" w:rsidRPr="00EE35F3" w14:paraId="10A26492" w14:textId="77777777" w:rsidTr="00401B89">
        <w:tc>
          <w:tcPr>
            <w:tcW w:w="4106" w:type="dxa"/>
          </w:tcPr>
          <w:p w14:paraId="59C577B9" w14:textId="77777777" w:rsidR="001D42BE" w:rsidRPr="00701AB8" w:rsidRDefault="001D42BE" w:rsidP="001220EE">
            <w:pPr>
              <w:pStyle w:val="NoSpacing"/>
              <w:rPr>
                <w:sz w:val="20"/>
                <w:szCs w:val="20"/>
              </w:rPr>
            </w:pPr>
            <w:r w:rsidRPr="00701AB8">
              <w:rPr>
                <w:sz w:val="20"/>
                <w:szCs w:val="20"/>
              </w:rPr>
              <w:lastRenderedPageBreak/>
              <w:t>Demonstrate required controls and reports for regulatory oversight</w:t>
            </w:r>
          </w:p>
        </w:tc>
        <w:tc>
          <w:tcPr>
            <w:tcW w:w="4910" w:type="dxa"/>
          </w:tcPr>
          <w:p w14:paraId="078EE98C" w14:textId="77777777" w:rsidR="001D42BE" w:rsidRPr="00701AB8" w:rsidRDefault="001D42BE" w:rsidP="001220EE">
            <w:pPr>
              <w:rPr>
                <w:sz w:val="20"/>
                <w:szCs w:val="20"/>
              </w:rPr>
            </w:pPr>
            <w:r w:rsidRPr="00701AB8">
              <w:rPr>
                <w:sz w:val="20"/>
                <w:szCs w:val="20"/>
              </w:rPr>
              <w:t>Evidences adherence to regulatory requirements</w:t>
            </w:r>
          </w:p>
        </w:tc>
      </w:tr>
      <w:tr w:rsidR="001D42BE" w:rsidRPr="00EE35F3" w14:paraId="28E61AEB" w14:textId="77777777" w:rsidTr="00401B89">
        <w:tc>
          <w:tcPr>
            <w:tcW w:w="4106" w:type="dxa"/>
          </w:tcPr>
          <w:p w14:paraId="40F8FE2B" w14:textId="77777777" w:rsidR="001D42BE" w:rsidRPr="00701AB8" w:rsidRDefault="001D42BE" w:rsidP="001220EE">
            <w:pPr>
              <w:pStyle w:val="NoSpacing"/>
              <w:rPr>
                <w:sz w:val="20"/>
                <w:szCs w:val="20"/>
              </w:rPr>
            </w:pPr>
            <w:r w:rsidRPr="00701AB8">
              <w:rPr>
                <w:sz w:val="20"/>
                <w:szCs w:val="20"/>
              </w:rPr>
              <w:t>Validate the accuracy and integrity of investor and fund cash and asset balances across a multi-day business cycle.</w:t>
            </w:r>
          </w:p>
        </w:tc>
        <w:tc>
          <w:tcPr>
            <w:tcW w:w="4910" w:type="dxa"/>
          </w:tcPr>
          <w:p w14:paraId="2B3B9C40" w14:textId="77777777" w:rsidR="001D42BE" w:rsidRPr="00701AB8" w:rsidRDefault="001D42BE" w:rsidP="001220EE">
            <w:pPr>
              <w:rPr>
                <w:sz w:val="20"/>
                <w:szCs w:val="20"/>
              </w:rPr>
            </w:pPr>
            <w:r w:rsidRPr="00701AB8">
              <w:rPr>
                <w:sz w:val="20"/>
                <w:szCs w:val="20"/>
              </w:rPr>
              <w:t>Validates integrity of register.  Demonstrates risk reduction and improved regulatory oversight, and builds confidence in product and vision.</w:t>
            </w:r>
          </w:p>
        </w:tc>
      </w:tr>
    </w:tbl>
    <w:p w14:paraId="067A6397" w14:textId="77777777" w:rsidR="00542BA1" w:rsidRDefault="00542BA1">
      <w:pPr>
        <w:widowControl/>
        <w:spacing w:after="160" w:line="259" w:lineRule="auto"/>
        <w:rPr>
          <w:rStyle w:val="a2"/>
          <w:b/>
          <w:bCs/>
          <w:i w:val="0"/>
          <w:lang w:val="en-US" w:eastAsia="zh-CN"/>
        </w:rPr>
      </w:pPr>
    </w:p>
    <w:p w14:paraId="2C27B5F8" w14:textId="2EF84BA2" w:rsidR="00B92150" w:rsidRPr="00B92150" w:rsidRDefault="00B92150">
      <w:pPr>
        <w:widowControl/>
        <w:spacing w:after="160" w:line="259" w:lineRule="auto"/>
        <w:rPr>
          <w:rStyle w:val="a2"/>
          <w:b/>
          <w:bCs/>
          <w:i w:val="0"/>
          <w:lang w:val="en-US" w:eastAsia="zh-CN"/>
        </w:rPr>
      </w:pPr>
      <w:r w:rsidRPr="00B92150">
        <w:rPr>
          <w:rStyle w:val="a2"/>
          <w:b/>
          <w:bCs/>
          <w:i w:val="0"/>
          <w:lang w:val="en-US" w:eastAsia="zh-CN"/>
        </w:rPr>
        <w:t>Timeline</w:t>
      </w:r>
    </w:p>
    <w:p w14:paraId="2EB8A800" w14:textId="6CC18F61" w:rsidR="00B92150" w:rsidRPr="001D42BE" w:rsidRDefault="00B92150" w:rsidP="00B92150">
      <w:pPr>
        <w:jc w:val="both"/>
        <w:rPr>
          <w:rFonts w:cstheme="minorHAnsi"/>
        </w:rPr>
      </w:pPr>
      <w:r w:rsidRPr="001D42BE">
        <w:rPr>
          <w:rFonts w:cstheme="minorHAnsi"/>
        </w:rPr>
        <w:t xml:space="preserve">The pilot exercise will be </w:t>
      </w:r>
      <w:r w:rsidR="00253A6C">
        <w:rPr>
          <w:rFonts w:cstheme="minorHAnsi"/>
        </w:rPr>
        <w:t xml:space="preserve">carried out over </w:t>
      </w:r>
      <w:r w:rsidR="00BA6E4B">
        <w:rPr>
          <w:rFonts w:cstheme="minorHAnsi"/>
        </w:rPr>
        <w:t>Sept/Oct 2020</w:t>
      </w:r>
      <w:r w:rsidR="002F4098">
        <w:rPr>
          <w:rFonts w:cstheme="minorHAnsi"/>
        </w:rPr>
        <w:t xml:space="preserve">. This period </w:t>
      </w:r>
      <w:r w:rsidRPr="001D42BE">
        <w:rPr>
          <w:rFonts w:cstheme="minorHAnsi"/>
        </w:rPr>
        <w:t xml:space="preserve">broken down </w:t>
      </w:r>
      <w:r w:rsidR="00253A6C">
        <w:rPr>
          <w:rFonts w:cstheme="minorHAnsi"/>
        </w:rPr>
        <w:t>as described below:</w:t>
      </w:r>
    </w:p>
    <w:p w14:paraId="7D11CB82" w14:textId="48B90A9C" w:rsidR="00B92150" w:rsidRDefault="00B92150" w:rsidP="00B92150">
      <w:pPr>
        <w:jc w:val="both"/>
        <w:rPr>
          <w:rFonts w:cstheme="minorHAnsi"/>
        </w:rPr>
      </w:pPr>
    </w:p>
    <w:tbl>
      <w:tblPr>
        <w:tblStyle w:val="TableGrid"/>
        <w:tblW w:w="0" w:type="auto"/>
        <w:tblLook w:val="04A0" w:firstRow="1" w:lastRow="0" w:firstColumn="1" w:lastColumn="0" w:noHBand="0" w:noVBand="1"/>
      </w:tblPr>
      <w:tblGrid>
        <w:gridCol w:w="846"/>
        <w:gridCol w:w="2693"/>
        <w:gridCol w:w="5477"/>
      </w:tblGrid>
      <w:tr w:rsidR="00701AB8" w:rsidRPr="00701AB8" w14:paraId="4D6EF25C" w14:textId="77777777" w:rsidTr="00701AB8">
        <w:tc>
          <w:tcPr>
            <w:tcW w:w="846" w:type="dxa"/>
            <w:shd w:val="clear" w:color="auto" w:fill="D9D9D9" w:themeFill="background1" w:themeFillShade="D9"/>
          </w:tcPr>
          <w:p w14:paraId="004BE560" w14:textId="61669C61" w:rsidR="00701AB8" w:rsidRPr="00701AB8" w:rsidRDefault="00701AB8" w:rsidP="00B92150">
            <w:pPr>
              <w:jc w:val="both"/>
              <w:rPr>
                <w:rFonts w:cstheme="minorHAnsi"/>
                <w:b/>
                <w:bCs/>
              </w:rPr>
            </w:pPr>
            <w:r w:rsidRPr="00701AB8">
              <w:rPr>
                <w:rFonts w:cstheme="minorHAnsi"/>
                <w:b/>
                <w:bCs/>
              </w:rPr>
              <w:t>Week</w:t>
            </w:r>
          </w:p>
        </w:tc>
        <w:tc>
          <w:tcPr>
            <w:tcW w:w="2693" w:type="dxa"/>
            <w:shd w:val="clear" w:color="auto" w:fill="D9D9D9" w:themeFill="background1" w:themeFillShade="D9"/>
          </w:tcPr>
          <w:p w14:paraId="7AAB4241" w14:textId="6B0B49E6" w:rsidR="00701AB8" w:rsidRPr="00701AB8" w:rsidRDefault="00701AB8" w:rsidP="00B92150">
            <w:pPr>
              <w:jc w:val="both"/>
              <w:rPr>
                <w:rFonts w:cstheme="minorHAnsi"/>
                <w:b/>
                <w:bCs/>
              </w:rPr>
            </w:pPr>
            <w:r w:rsidRPr="00701AB8">
              <w:rPr>
                <w:rFonts w:cstheme="minorHAnsi"/>
                <w:b/>
                <w:bCs/>
              </w:rPr>
              <w:t>Stage</w:t>
            </w:r>
          </w:p>
        </w:tc>
        <w:tc>
          <w:tcPr>
            <w:tcW w:w="5477" w:type="dxa"/>
            <w:shd w:val="clear" w:color="auto" w:fill="D9D9D9" w:themeFill="background1" w:themeFillShade="D9"/>
          </w:tcPr>
          <w:p w14:paraId="1719A22A" w14:textId="67018BA3" w:rsidR="00701AB8" w:rsidRPr="00701AB8" w:rsidRDefault="00701AB8" w:rsidP="00B92150">
            <w:pPr>
              <w:jc w:val="both"/>
              <w:rPr>
                <w:rFonts w:cstheme="minorHAnsi"/>
                <w:b/>
                <w:bCs/>
              </w:rPr>
            </w:pPr>
            <w:r w:rsidRPr="00701AB8">
              <w:rPr>
                <w:rFonts w:cstheme="minorHAnsi"/>
                <w:b/>
                <w:bCs/>
              </w:rPr>
              <w:t>Action Plan</w:t>
            </w:r>
          </w:p>
        </w:tc>
      </w:tr>
      <w:tr w:rsidR="00253A6C" w14:paraId="30573F0F" w14:textId="77777777" w:rsidTr="00701AB8">
        <w:tc>
          <w:tcPr>
            <w:tcW w:w="846" w:type="dxa"/>
          </w:tcPr>
          <w:p w14:paraId="6F98F66F" w14:textId="6EA4F30F" w:rsidR="00253A6C" w:rsidRPr="00701AB8" w:rsidRDefault="00253A6C" w:rsidP="00B92150">
            <w:pPr>
              <w:jc w:val="both"/>
              <w:rPr>
                <w:rFonts w:cstheme="minorHAnsi"/>
                <w:sz w:val="20"/>
                <w:szCs w:val="20"/>
              </w:rPr>
            </w:pPr>
            <w:r w:rsidRPr="00701AB8">
              <w:rPr>
                <w:rFonts w:cstheme="minorHAnsi"/>
                <w:sz w:val="20"/>
                <w:szCs w:val="20"/>
              </w:rPr>
              <w:t>1</w:t>
            </w:r>
          </w:p>
        </w:tc>
        <w:tc>
          <w:tcPr>
            <w:tcW w:w="2693" w:type="dxa"/>
          </w:tcPr>
          <w:p w14:paraId="5A32E2EE" w14:textId="6C820BDD" w:rsidR="00253A6C" w:rsidRPr="00701AB8" w:rsidRDefault="00701AB8" w:rsidP="00B92150">
            <w:pPr>
              <w:jc w:val="both"/>
              <w:rPr>
                <w:rFonts w:cstheme="minorHAnsi"/>
                <w:sz w:val="20"/>
                <w:szCs w:val="20"/>
              </w:rPr>
            </w:pPr>
            <w:r w:rsidRPr="00701AB8">
              <w:rPr>
                <w:rFonts w:cstheme="minorHAnsi"/>
                <w:sz w:val="20"/>
                <w:szCs w:val="20"/>
              </w:rPr>
              <w:t>Operational readiness 1</w:t>
            </w:r>
          </w:p>
        </w:tc>
        <w:tc>
          <w:tcPr>
            <w:tcW w:w="5477" w:type="dxa"/>
          </w:tcPr>
          <w:p w14:paraId="6D389FCC" w14:textId="64CF6CCF" w:rsidR="00253A6C" w:rsidRPr="00701AB8" w:rsidRDefault="00701AB8" w:rsidP="00B92150">
            <w:pPr>
              <w:jc w:val="both"/>
              <w:rPr>
                <w:rFonts w:cstheme="minorHAnsi"/>
                <w:sz w:val="20"/>
                <w:szCs w:val="20"/>
              </w:rPr>
            </w:pPr>
            <w:r w:rsidRPr="00701AB8">
              <w:rPr>
                <w:rFonts w:cstheme="minorHAnsi"/>
                <w:sz w:val="20"/>
                <w:szCs w:val="20"/>
              </w:rPr>
              <w:t>Trial runs to ensure the network is properly configured and all participants are ready to embark on the testing process</w:t>
            </w:r>
          </w:p>
        </w:tc>
      </w:tr>
      <w:tr w:rsidR="00253A6C" w14:paraId="62F2E8D3" w14:textId="77777777" w:rsidTr="00701AB8">
        <w:tc>
          <w:tcPr>
            <w:tcW w:w="846" w:type="dxa"/>
          </w:tcPr>
          <w:p w14:paraId="1E1AF64C" w14:textId="667550E2" w:rsidR="00253A6C" w:rsidRPr="00701AB8" w:rsidRDefault="00253A6C" w:rsidP="00B92150">
            <w:pPr>
              <w:jc w:val="both"/>
              <w:rPr>
                <w:rFonts w:cstheme="minorHAnsi"/>
                <w:sz w:val="20"/>
                <w:szCs w:val="20"/>
              </w:rPr>
            </w:pPr>
            <w:r w:rsidRPr="00701AB8">
              <w:rPr>
                <w:rFonts w:cstheme="minorHAnsi"/>
                <w:sz w:val="20"/>
                <w:szCs w:val="20"/>
              </w:rPr>
              <w:t>2</w:t>
            </w:r>
          </w:p>
        </w:tc>
        <w:tc>
          <w:tcPr>
            <w:tcW w:w="2693" w:type="dxa"/>
          </w:tcPr>
          <w:p w14:paraId="0B677EE7" w14:textId="116D6BB3" w:rsidR="00253A6C" w:rsidRPr="00701AB8" w:rsidRDefault="00701AB8" w:rsidP="00B92150">
            <w:pPr>
              <w:jc w:val="both"/>
              <w:rPr>
                <w:rFonts w:cstheme="minorHAnsi"/>
                <w:sz w:val="20"/>
                <w:szCs w:val="20"/>
              </w:rPr>
            </w:pPr>
            <w:r w:rsidRPr="00701AB8">
              <w:rPr>
                <w:rFonts w:cstheme="minorHAnsi"/>
                <w:sz w:val="20"/>
                <w:szCs w:val="20"/>
              </w:rPr>
              <w:t>Operational readiness 2</w:t>
            </w:r>
          </w:p>
        </w:tc>
        <w:tc>
          <w:tcPr>
            <w:tcW w:w="5477" w:type="dxa"/>
          </w:tcPr>
          <w:p w14:paraId="1C7C2DBA" w14:textId="1295730E" w:rsidR="00253A6C" w:rsidRPr="00701AB8" w:rsidRDefault="00701AB8" w:rsidP="00B92150">
            <w:pPr>
              <w:jc w:val="both"/>
              <w:rPr>
                <w:rFonts w:cstheme="minorHAnsi"/>
                <w:sz w:val="20"/>
                <w:szCs w:val="20"/>
              </w:rPr>
            </w:pPr>
            <w:r w:rsidRPr="00701AB8">
              <w:rPr>
                <w:rFonts w:cstheme="minorHAnsi"/>
                <w:sz w:val="20"/>
                <w:szCs w:val="20"/>
              </w:rPr>
              <w:t xml:space="preserve">Continuation of </w:t>
            </w:r>
            <w:proofErr w:type="gramStart"/>
            <w:r w:rsidRPr="00701AB8">
              <w:rPr>
                <w:rFonts w:cstheme="minorHAnsi"/>
                <w:sz w:val="20"/>
                <w:szCs w:val="20"/>
              </w:rPr>
              <w:t>week</w:t>
            </w:r>
            <w:r w:rsidR="00251E6F">
              <w:rPr>
                <w:rFonts w:cstheme="minorHAnsi"/>
                <w:sz w:val="20"/>
                <w:szCs w:val="20"/>
              </w:rPr>
              <w:t xml:space="preserve"> </w:t>
            </w:r>
            <w:r w:rsidRPr="00701AB8">
              <w:rPr>
                <w:rFonts w:cstheme="minorHAnsi"/>
                <w:sz w:val="20"/>
                <w:szCs w:val="20"/>
              </w:rPr>
              <w:t xml:space="preserve"> one</w:t>
            </w:r>
            <w:proofErr w:type="gramEnd"/>
          </w:p>
        </w:tc>
      </w:tr>
      <w:tr w:rsidR="00253A6C" w14:paraId="301BABA1" w14:textId="77777777" w:rsidTr="00701AB8">
        <w:tc>
          <w:tcPr>
            <w:tcW w:w="846" w:type="dxa"/>
          </w:tcPr>
          <w:p w14:paraId="1BDABF98" w14:textId="2FD3DCAA" w:rsidR="00253A6C" w:rsidRPr="00701AB8" w:rsidRDefault="00253A6C" w:rsidP="00B92150">
            <w:pPr>
              <w:jc w:val="both"/>
              <w:rPr>
                <w:rFonts w:cstheme="minorHAnsi"/>
                <w:sz w:val="20"/>
                <w:szCs w:val="20"/>
              </w:rPr>
            </w:pPr>
            <w:r w:rsidRPr="00701AB8">
              <w:rPr>
                <w:rFonts w:cstheme="minorHAnsi"/>
                <w:sz w:val="20"/>
                <w:szCs w:val="20"/>
              </w:rPr>
              <w:t>3</w:t>
            </w:r>
          </w:p>
        </w:tc>
        <w:tc>
          <w:tcPr>
            <w:tcW w:w="2693" w:type="dxa"/>
          </w:tcPr>
          <w:p w14:paraId="31F4F500" w14:textId="3DFF9F1C" w:rsidR="00253A6C" w:rsidRPr="00701AB8" w:rsidRDefault="00701AB8" w:rsidP="00B92150">
            <w:pPr>
              <w:jc w:val="both"/>
              <w:rPr>
                <w:rFonts w:cstheme="minorHAnsi"/>
                <w:sz w:val="20"/>
                <w:szCs w:val="20"/>
              </w:rPr>
            </w:pPr>
            <w:r w:rsidRPr="00701AB8">
              <w:rPr>
                <w:rFonts w:cstheme="minorHAnsi"/>
                <w:sz w:val="20"/>
                <w:szCs w:val="20"/>
              </w:rPr>
              <w:t>Fund Launch 1</w:t>
            </w:r>
          </w:p>
        </w:tc>
        <w:tc>
          <w:tcPr>
            <w:tcW w:w="5477" w:type="dxa"/>
          </w:tcPr>
          <w:p w14:paraId="1D67BF1E" w14:textId="541730FD" w:rsidR="00253A6C" w:rsidRPr="00701AB8" w:rsidRDefault="00701AB8" w:rsidP="00B92150">
            <w:pPr>
              <w:jc w:val="both"/>
              <w:rPr>
                <w:rFonts w:cstheme="minorHAnsi"/>
                <w:sz w:val="20"/>
                <w:szCs w:val="20"/>
              </w:rPr>
            </w:pPr>
            <w:r w:rsidRPr="00701AB8">
              <w:rPr>
                <w:rFonts w:cstheme="minorHAnsi"/>
                <w:sz w:val="20"/>
                <w:szCs w:val="20"/>
              </w:rPr>
              <w:t>Fund launch and operation across first business cycle</w:t>
            </w:r>
          </w:p>
        </w:tc>
      </w:tr>
      <w:tr w:rsidR="00253A6C" w14:paraId="0C8CBEAB" w14:textId="77777777" w:rsidTr="00701AB8">
        <w:tc>
          <w:tcPr>
            <w:tcW w:w="846" w:type="dxa"/>
          </w:tcPr>
          <w:p w14:paraId="30940F23" w14:textId="309CB1A1" w:rsidR="00253A6C" w:rsidRPr="00701AB8" w:rsidRDefault="00253A6C" w:rsidP="00B92150">
            <w:pPr>
              <w:jc w:val="both"/>
              <w:rPr>
                <w:rFonts w:cstheme="minorHAnsi"/>
                <w:sz w:val="20"/>
                <w:szCs w:val="20"/>
              </w:rPr>
            </w:pPr>
            <w:r w:rsidRPr="00701AB8">
              <w:rPr>
                <w:rFonts w:cstheme="minorHAnsi"/>
                <w:sz w:val="20"/>
                <w:szCs w:val="20"/>
              </w:rPr>
              <w:t>4</w:t>
            </w:r>
          </w:p>
        </w:tc>
        <w:tc>
          <w:tcPr>
            <w:tcW w:w="2693" w:type="dxa"/>
          </w:tcPr>
          <w:p w14:paraId="3B158EC7" w14:textId="67436093" w:rsidR="00253A6C" w:rsidRPr="00701AB8" w:rsidRDefault="00701AB8" w:rsidP="00B92150">
            <w:pPr>
              <w:jc w:val="both"/>
              <w:rPr>
                <w:rFonts w:cstheme="minorHAnsi"/>
                <w:sz w:val="20"/>
                <w:szCs w:val="20"/>
              </w:rPr>
            </w:pPr>
            <w:r w:rsidRPr="00701AB8">
              <w:rPr>
                <w:rFonts w:cstheme="minorHAnsi"/>
                <w:sz w:val="20"/>
                <w:szCs w:val="20"/>
              </w:rPr>
              <w:t>Fund launch 2</w:t>
            </w:r>
          </w:p>
        </w:tc>
        <w:tc>
          <w:tcPr>
            <w:tcW w:w="5477" w:type="dxa"/>
          </w:tcPr>
          <w:p w14:paraId="451332B2" w14:textId="58B621CB" w:rsidR="00253A6C" w:rsidRPr="00701AB8" w:rsidRDefault="00701AB8" w:rsidP="00B92150">
            <w:pPr>
              <w:jc w:val="both"/>
              <w:rPr>
                <w:rFonts w:cstheme="minorHAnsi"/>
                <w:sz w:val="20"/>
                <w:szCs w:val="20"/>
              </w:rPr>
            </w:pPr>
            <w:r w:rsidRPr="00701AB8">
              <w:rPr>
                <w:rFonts w:cstheme="minorHAnsi"/>
                <w:sz w:val="20"/>
                <w:szCs w:val="20"/>
              </w:rPr>
              <w:t>Continued operation of fund over additional business cycles</w:t>
            </w:r>
          </w:p>
        </w:tc>
      </w:tr>
      <w:tr w:rsidR="00253A6C" w14:paraId="47934FC1" w14:textId="77777777" w:rsidTr="00701AB8">
        <w:tc>
          <w:tcPr>
            <w:tcW w:w="846" w:type="dxa"/>
          </w:tcPr>
          <w:p w14:paraId="0E7B5E19" w14:textId="6DC7A6CC" w:rsidR="00253A6C" w:rsidRPr="00701AB8" w:rsidRDefault="00253A6C" w:rsidP="00B92150">
            <w:pPr>
              <w:jc w:val="both"/>
              <w:rPr>
                <w:rFonts w:cstheme="minorHAnsi"/>
                <w:sz w:val="20"/>
                <w:szCs w:val="20"/>
              </w:rPr>
            </w:pPr>
            <w:r w:rsidRPr="00701AB8">
              <w:rPr>
                <w:rFonts w:cstheme="minorHAnsi"/>
                <w:sz w:val="20"/>
                <w:szCs w:val="20"/>
              </w:rPr>
              <w:t>5</w:t>
            </w:r>
          </w:p>
        </w:tc>
        <w:tc>
          <w:tcPr>
            <w:tcW w:w="2693" w:type="dxa"/>
          </w:tcPr>
          <w:p w14:paraId="2DD58C7F" w14:textId="451BB91B" w:rsidR="00253A6C" w:rsidRPr="00701AB8" w:rsidRDefault="00701AB8" w:rsidP="00B92150">
            <w:pPr>
              <w:jc w:val="both"/>
              <w:rPr>
                <w:rFonts w:cstheme="minorHAnsi"/>
                <w:sz w:val="20"/>
                <w:szCs w:val="20"/>
              </w:rPr>
            </w:pPr>
            <w:r w:rsidRPr="00701AB8">
              <w:rPr>
                <w:rFonts w:cstheme="minorHAnsi"/>
                <w:sz w:val="20"/>
                <w:szCs w:val="20"/>
              </w:rPr>
              <w:t>Extended testing 1</w:t>
            </w:r>
          </w:p>
        </w:tc>
        <w:tc>
          <w:tcPr>
            <w:tcW w:w="5477" w:type="dxa"/>
          </w:tcPr>
          <w:p w14:paraId="747BAC71" w14:textId="04B7CEC8" w:rsidR="00253A6C" w:rsidRPr="00701AB8" w:rsidRDefault="00701AB8" w:rsidP="00B92150">
            <w:pPr>
              <w:jc w:val="both"/>
              <w:rPr>
                <w:rFonts w:cstheme="minorHAnsi"/>
                <w:sz w:val="20"/>
                <w:szCs w:val="20"/>
              </w:rPr>
            </w:pPr>
            <w:r w:rsidRPr="00701AB8">
              <w:rPr>
                <w:rFonts w:cstheme="minorHAnsi"/>
                <w:sz w:val="20"/>
                <w:szCs w:val="20"/>
              </w:rPr>
              <w:t>Additional testing to evaluate a wider range of operational conditions and exceptions</w:t>
            </w:r>
            <w:r w:rsidR="00B23142">
              <w:rPr>
                <w:rFonts w:cstheme="minorHAnsi"/>
                <w:sz w:val="20"/>
                <w:szCs w:val="20"/>
              </w:rPr>
              <w:t xml:space="preserve"> outside of DITLOAF</w:t>
            </w:r>
          </w:p>
        </w:tc>
      </w:tr>
      <w:tr w:rsidR="00253A6C" w14:paraId="4DB63A29" w14:textId="77777777" w:rsidTr="00701AB8">
        <w:tc>
          <w:tcPr>
            <w:tcW w:w="846" w:type="dxa"/>
          </w:tcPr>
          <w:p w14:paraId="54FF0C10" w14:textId="52D6E420" w:rsidR="00253A6C" w:rsidRPr="00701AB8" w:rsidRDefault="00701AB8" w:rsidP="00B92150">
            <w:pPr>
              <w:jc w:val="both"/>
              <w:rPr>
                <w:rFonts w:cstheme="minorHAnsi"/>
                <w:sz w:val="20"/>
                <w:szCs w:val="20"/>
              </w:rPr>
            </w:pPr>
            <w:r w:rsidRPr="00701AB8">
              <w:rPr>
                <w:rFonts w:cstheme="minorHAnsi"/>
                <w:sz w:val="20"/>
                <w:szCs w:val="20"/>
              </w:rPr>
              <w:t>6</w:t>
            </w:r>
          </w:p>
        </w:tc>
        <w:tc>
          <w:tcPr>
            <w:tcW w:w="2693" w:type="dxa"/>
          </w:tcPr>
          <w:p w14:paraId="577EABFC" w14:textId="4621A453" w:rsidR="00253A6C" w:rsidRPr="00701AB8" w:rsidRDefault="00701AB8" w:rsidP="00B92150">
            <w:pPr>
              <w:jc w:val="both"/>
              <w:rPr>
                <w:rFonts w:cstheme="minorHAnsi"/>
                <w:sz w:val="20"/>
                <w:szCs w:val="20"/>
              </w:rPr>
            </w:pPr>
            <w:r w:rsidRPr="00701AB8">
              <w:rPr>
                <w:rFonts w:cstheme="minorHAnsi"/>
                <w:sz w:val="20"/>
                <w:szCs w:val="20"/>
              </w:rPr>
              <w:t>Extended testing 2</w:t>
            </w:r>
          </w:p>
        </w:tc>
        <w:tc>
          <w:tcPr>
            <w:tcW w:w="5477" w:type="dxa"/>
          </w:tcPr>
          <w:p w14:paraId="3198CB26" w14:textId="0CD7DD8D" w:rsidR="00253A6C" w:rsidRPr="00701AB8" w:rsidRDefault="00701AB8" w:rsidP="00B92150">
            <w:pPr>
              <w:jc w:val="both"/>
              <w:rPr>
                <w:rFonts w:cstheme="minorHAnsi"/>
                <w:sz w:val="20"/>
                <w:szCs w:val="20"/>
              </w:rPr>
            </w:pPr>
            <w:r w:rsidRPr="00701AB8">
              <w:rPr>
                <w:rFonts w:cstheme="minorHAnsi"/>
                <w:sz w:val="20"/>
                <w:szCs w:val="20"/>
              </w:rPr>
              <w:t>Continuation of week five</w:t>
            </w:r>
            <w:r w:rsidR="00B23142">
              <w:rPr>
                <w:rFonts w:cstheme="minorHAnsi"/>
                <w:sz w:val="20"/>
                <w:szCs w:val="20"/>
              </w:rPr>
              <w:t xml:space="preserve"> including income distributions</w:t>
            </w:r>
          </w:p>
        </w:tc>
      </w:tr>
      <w:tr w:rsidR="00701AB8" w14:paraId="6DB35FB0" w14:textId="77777777" w:rsidTr="00701AB8">
        <w:tc>
          <w:tcPr>
            <w:tcW w:w="846" w:type="dxa"/>
          </w:tcPr>
          <w:p w14:paraId="484876C2" w14:textId="18FA7426" w:rsidR="00701AB8" w:rsidRPr="00701AB8" w:rsidRDefault="00701AB8" w:rsidP="00B92150">
            <w:pPr>
              <w:jc w:val="both"/>
              <w:rPr>
                <w:rFonts w:cstheme="minorHAnsi"/>
                <w:sz w:val="20"/>
                <w:szCs w:val="20"/>
              </w:rPr>
            </w:pPr>
            <w:r w:rsidRPr="00701AB8">
              <w:rPr>
                <w:rFonts w:cstheme="minorHAnsi"/>
                <w:sz w:val="20"/>
                <w:szCs w:val="20"/>
              </w:rPr>
              <w:t>7</w:t>
            </w:r>
          </w:p>
        </w:tc>
        <w:tc>
          <w:tcPr>
            <w:tcW w:w="2693" w:type="dxa"/>
          </w:tcPr>
          <w:p w14:paraId="1F00CA2B" w14:textId="2AA96CD4" w:rsidR="00701AB8" w:rsidRPr="00701AB8" w:rsidRDefault="00701AB8" w:rsidP="00B92150">
            <w:pPr>
              <w:jc w:val="both"/>
              <w:rPr>
                <w:rFonts w:cstheme="minorHAnsi"/>
                <w:sz w:val="20"/>
                <w:szCs w:val="20"/>
              </w:rPr>
            </w:pPr>
            <w:r w:rsidRPr="00701AB8">
              <w:rPr>
                <w:rFonts w:cstheme="minorHAnsi"/>
                <w:sz w:val="20"/>
                <w:szCs w:val="20"/>
              </w:rPr>
              <w:t>Contingency</w:t>
            </w:r>
          </w:p>
        </w:tc>
        <w:tc>
          <w:tcPr>
            <w:tcW w:w="5477" w:type="dxa"/>
          </w:tcPr>
          <w:p w14:paraId="7C58975A" w14:textId="3E2CD8AE" w:rsidR="00701AB8" w:rsidRPr="00701AB8" w:rsidRDefault="00701AB8" w:rsidP="00B92150">
            <w:pPr>
              <w:jc w:val="both"/>
              <w:rPr>
                <w:rFonts w:cstheme="minorHAnsi"/>
                <w:sz w:val="20"/>
                <w:szCs w:val="20"/>
              </w:rPr>
            </w:pPr>
            <w:r w:rsidRPr="00701AB8">
              <w:rPr>
                <w:rFonts w:cstheme="minorHAnsi"/>
                <w:sz w:val="20"/>
                <w:szCs w:val="20"/>
              </w:rPr>
              <w:t>Set aside time for catch up or repeat testing</w:t>
            </w:r>
          </w:p>
        </w:tc>
      </w:tr>
      <w:tr w:rsidR="00701AB8" w14:paraId="3C9FA056" w14:textId="77777777" w:rsidTr="00701AB8">
        <w:tc>
          <w:tcPr>
            <w:tcW w:w="846" w:type="dxa"/>
          </w:tcPr>
          <w:p w14:paraId="7AC6D3F0" w14:textId="5B468515" w:rsidR="00701AB8" w:rsidRPr="00701AB8" w:rsidRDefault="00701AB8" w:rsidP="00B92150">
            <w:pPr>
              <w:jc w:val="both"/>
              <w:rPr>
                <w:rFonts w:cstheme="minorHAnsi"/>
                <w:sz w:val="20"/>
                <w:szCs w:val="20"/>
              </w:rPr>
            </w:pPr>
            <w:r w:rsidRPr="00701AB8">
              <w:rPr>
                <w:rFonts w:cstheme="minorHAnsi"/>
                <w:sz w:val="20"/>
                <w:szCs w:val="20"/>
              </w:rPr>
              <w:t>8</w:t>
            </w:r>
          </w:p>
        </w:tc>
        <w:tc>
          <w:tcPr>
            <w:tcW w:w="2693" w:type="dxa"/>
          </w:tcPr>
          <w:p w14:paraId="38BD92C7" w14:textId="03156C88" w:rsidR="00701AB8" w:rsidRPr="00701AB8" w:rsidRDefault="00701AB8" w:rsidP="00B92150">
            <w:pPr>
              <w:jc w:val="both"/>
              <w:rPr>
                <w:rFonts w:cstheme="minorHAnsi"/>
                <w:sz w:val="20"/>
                <w:szCs w:val="20"/>
              </w:rPr>
            </w:pPr>
            <w:r w:rsidRPr="00701AB8">
              <w:rPr>
                <w:rFonts w:cstheme="minorHAnsi"/>
                <w:sz w:val="20"/>
                <w:szCs w:val="20"/>
              </w:rPr>
              <w:t>Fund closure and wrap up</w:t>
            </w:r>
          </w:p>
        </w:tc>
        <w:tc>
          <w:tcPr>
            <w:tcW w:w="5477" w:type="dxa"/>
          </w:tcPr>
          <w:p w14:paraId="5BB4A80B" w14:textId="3796D5AC" w:rsidR="00701AB8" w:rsidRPr="00701AB8" w:rsidRDefault="00701AB8" w:rsidP="00B92150">
            <w:pPr>
              <w:jc w:val="both"/>
              <w:rPr>
                <w:rFonts w:cstheme="minorHAnsi"/>
                <w:sz w:val="20"/>
                <w:szCs w:val="20"/>
              </w:rPr>
            </w:pPr>
            <w:r w:rsidRPr="00701AB8">
              <w:rPr>
                <w:rFonts w:cstheme="minorHAnsi"/>
                <w:sz w:val="20"/>
                <w:szCs w:val="20"/>
              </w:rPr>
              <w:t>Shut down test fund and review test outcomes</w:t>
            </w:r>
          </w:p>
        </w:tc>
      </w:tr>
    </w:tbl>
    <w:p w14:paraId="7DD8DED5" w14:textId="67F48A26" w:rsidR="00253A6C" w:rsidRDefault="00253A6C" w:rsidP="00B92150">
      <w:pPr>
        <w:jc w:val="both"/>
        <w:rPr>
          <w:rFonts w:cstheme="minorHAnsi"/>
        </w:rPr>
      </w:pPr>
    </w:p>
    <w:p w14:paraId="58257E59" w14:textId="35CA5E4A" w:rsidR="00090605" w:rsidRDefault="00253A6C" w:rsidP="00701AB8">
      <w:pPr>
        <w:jc w:val="both"/>
        <w:rPr>
          <w:rFonts w:cstheme="minorHAnsi"/>
        </w:rPr>
      </w:pPr>
      <w:r>
        <w:rPr>
          <w:rFonts w:cstheme="minorHAnsi"/>
        </w:rPr>
        <w:t xml:space="preserve">Some flexibility will be required to ensure all participants </w:t>
      </w:r>
      <w:r w:rsidR="006C63CE">
        <w:rPr>
          <w:rFonts w:cstheme="minorHAnsi"/>
        </w:rPr>
        <w:t xml:space="preserve">activities can be aligned </w:t>
      </w:r>
      <w:r w:rsidR="00701AB8">
        <w:rPr>
          <w:rFonts w:cstheme="minorHAnsi"/>
        </w:rPr>
        <w:t>and issue</w:t>
      </w:r>
      <w:r w:rsidR="006C63CE">
        <w:rPr>
          <w:rFonts w:cstheme="minorHAnsi"/>
        </w:rPr>
        <w:t>s</w:t>
      </w:r>
      <w:r w:rsidR="00701AB8">
        <w:rPr>
          <w:rFonts w:cstheme="minorHAnsi"/>
        </w:rPr>
        <w:t xml:space="preserve"> encountered during the process can be resolved.  Weeks are elapsed time only and do not indicate effort during the week which will be balanced to meet participants</w:t>
      </w:r>
      <w:r w:rsidR="0046733D">
        <w:rPr>
          <w:rFonts w:cstheme="minorHAnsi"/>
        </w:rPr>
        <w:t xml:space="preserve"> availability.</w:t>
      </w:r>
    </w:p>
    <w:p w14:paraId="3D95FB78" w14:textId="24B607E8" w:rsidR="00701AB8" w:rsidRDefault="00701AB8" w:rsidP="00701AB8">
      <w:pPr>
        <w:jc w:val="both"/>
        <w:rPr>
          <w:rFonts w:cstheme="minorHAnsi"/>
        </w:rPr>
      </w:pPr>
    </w:p>
    <w:p w14:paraId="765A1915" w14:textId="1F878CD9" w:rsidR="00701AB8" w:rsidRPr="00701AB8" w:rsidRDefault="00542BA1" w:rsidP="00701AB8">
      <w:pPr>
        <w:jc w:val="both"/>
        <w:rPr>
          <w:rFonts w:cstheme="minorHAnsi"/>
          <w:b/>
          <w:bCs/>
        </w:rPr>
      </w:pPr>
      <w:r>
        <w:rPr>
          <w:rFonts w:cstheme="minorHAnsi"/>
          <w:b/>
          <w:bCs/>
        </w:rPr>
        <w:t>Test Outcomes</w:t>
      </w:r>
    </w:p>
    <w:p w14:paraId="2579C050" w14:textId="4AD39541" w:rsidR="00701AB8" w:rsidRPr="00701AB8" w:rsidRDefault="00701AB8" w:rsidP="00701AB8">
      <w:pPr>
        <w:jc w:val="both"/>
        <w:rPr>
          <w:rFonts w:cstheme="minorHAnsi"/>
        </w:rPr>
      </w:pPr>
    </w:p>
    <w:p w14:paraId="0609C1A8" w14:textId="2E331E6D" w:rsidR="00701AB8" w:rsidRDefault="00701AB8" w:rsidP="00701AB8">
      <w:r w:rsidRPr="00701AB8">
        <w:t>At the end of the pilot, the following deliverables should have been achieved:</w:t>
      </w:r>
    </w:p>
    <w:p w14:paraId="7A22FAE9" w14:textId="77777777" w:rsidR="00542BA1" w:rsidRPr="00701AB8" w:rsidRDefault="00542BA1" w:rsidP="00701AB8"/>
    <w:p w14:paraId="3F56F052" w14:textId="77777777" w:rsidR="00701AB8" w:rsidRPr="00701AB8" w:rsidRDefault="00701AB8" w:rsidP="00701AB8">
      <w:pPr>
        <w:pStyle w:val="NoSpacing"/>
        <w:numPr>
          <w:ilvl w:val="0"/>
          <w:numId w:val="11"/>
        </w:numPr>
        <w:jc w:val="both"/>
      </w:pPr>
      <w:r w:rsidRPr="00701AB8">
        <w:t>A verified set of end-to-end workflows, built to conduct the daily operations of a fund and to meet all necessary oversight and reporting requirements;</w:t>
      </w:r>
    </w:p>
    <w:p w14:paraId="27DFC530" w14:textId="1FCC5C6F" w:rsidR="00701AB8" w:rsidRPr="00542BA1" w:rsidRDefault="00701AB8" w:rsidP="00542BA1">
      <w:pPr>
        <w:pStyle w:val="NoSpacing"/>
        <w:numPr>
          <w:ilvl w:val="0"/>
          <w:numId w:val="11"/>
        </w:numPr>
        <w:jc w:val="both"/>
        <w:rPr>
          <w:b/>
          <w:bCs/>
        </w:rPr>
      </w:pPr>
      <w:r w:rsidRPr="00701AB8">
        <w:t xml:space="preserve">An understanding of the key components of the fund prospectus and service provider agreement for an on-ledger </w:t>
      </w:r>
      <w:r w:rsidRPr="00542BA1">
        <w:t>fund</w:t>
      </w:r>
      <w:r w:rsidR="00542BA1" w:rsidRPr="00542BA1">
        <w:t xml:space="preserve"> and a</w:t>
      </w:r>
      <w:r w:rsidRPr="00542BA1">
        <w:t xml:space="preserve"> proven process for launching an on-ledger, token-based fund;</w:t>
      </w:r>
    </w:p>
    <w:p w14:paraId="4E9C9B74" w14:textId="77777777" w:rsidR="00701AB8" w:rsidRPr="00701AB8" w:rsidRDefault="00701AB8" w:rsidP="00701AB8">
      <w:pPr>
        <w:pStyle w:val="NoSpacing"/>
        <w:numPr>
          <w:ilvl w:val="0"/>
          <w:numId w:val="11"/>
        </w:numPr>
        <w:jc w:val="both"/>
      </w:pPr>
      <w:r w:rsidRPr="00701AB8">
        <w:t>A set of prioritised activities necessary to bring the system to a production-ready state;</w:t>
      </w:r>
    </w:p>
    <w:p w14:paraId="690482E3" w14:textId="079FEAE8" w:rsidR="00701AB8" w:rsidRPr="00701AB8" w:rsidRDefault="00701AB8" w:rsidP="00701AB8">
      <w:pPr>
        <w:pStyle w:val="NoSpacing"/>
        <w:numPr>
          <w:ilvl w:val="0"/>
          <w:numId w:val="11"/>
        </w:numPr>
        <w:jc w:val="both"/>
      </w:pPr>
      <w:r w:rsidRPr="00701AB8">
        <w:t>A definition of the future state operating model enabled by the proposed system; and</w:t>
      </w:r>
    </w:p>
    <w:p w14:paraId="3211B070" w14:textId="79D6266D" w:rsidR="00701AB8" w:rsidRPr="00701AB8" w:rsidRDefault="00701AB8" w:rsidP="00701AB8">
      <w:pPr>
        <w:pStyle w:val="NoSpacing"/>
        <w:numPr>
          <w:ilvl w:val="0"/>
          <w:numId w:val="11"/>
        </w:numPr>
        <w:jc w:val="both"/>
      </w:pPr>
      <w:r w:rsidRPr="00701AB8">
        <w:t>A business plan for realising TA 2.0, along with an operational and commercial plan for bringing it to market.</w:t>
      </w:r>
    </w:p>
    <w:p w14:paraId="176A30FD" w14:textId="77777777" w:rsidR="00701AB8" w:rsidRPr="00701AB8" w:rsidRDefault="00701AB8" w:rsidP="00701AB8">
      <w:pPr>
        <w:jc w:val="both"/>
        <w:rPr>
          <w:rStyle w:val="a2"/>
          <w:rFonts w:cstheme="minorHAnsi"/>
          <w:i w:val="0"/>
          <w:iCs w:val="0"/>
        </w:rPr>
      </w:pPr>
    </w:p>
    <w:p w14:paraId="64D56C7D" w14:textId="17827CB1" w:rsidR="00DA3FCF" w:rsidRPr="001B3A92" w:rsidRDefault="00DA3FCF" w:rsidP="001B3A92">
      <w:pPr>
        <w:widowControl/>
        <w:spacing w:after="160" w:line="259" w:lineRule="auto"/>
        <w:rPr>
          <w:rStyle w:val="a2"/>
          <w:b/>
          <w:bCs/>
          <w:i w:val="0"/>
          <w:iCs w:val="0"/>
          <w:lang w:val="en-US" w:eastAsia="zh-CN"/>
        </w:rPr>
      </w:pPr>
      <w:bookmarkStart w:id="0" w:name="_Toc38221506"/>
      <w:r w:rsidRPr="001B3A92">
        <w:rPr>
          <w:rStyle w:val="a2"/>
          <w:b/>
          <w:bCs/>
          <w:i w:val="0"/>
          <w:iCs w:val="0"/>
          <w:lang w:val="en-US" w:eastAsia="zh-CN"/>
        </w:rPr>
        <w:t xml:space="preserve">Success </w:t>
      </w:r>
      <w:bookmarkEnd w:id="0"/>
      <w:r w:rsidR="00542BA1">
        <w:rPr>
          <w:rStyle w:val="a2"/>
          <w:b/>
          <w:bCs/>
          <w:i w:val="0"/>
          <w:iCs w:val="0"/>
          <w:lang w:val="en-US" w:eastAsia="zh-CN"/>
        </w:rPr>
        <w:t>Indicators</w:t>
      </w:r>
    </w:p>
    <w:p w14:paraId="198D829B" w14:textId="77777777" w:rsidR="00542BA1" w:rsidRPr="00542BA1" w:rsidRDefault="00542BA1" w:rsidP="00542BA1">
      <w:pPr>
        <w:pStyle w:val="ListParagraph"/>
        <w:widowControl/>
        <w:numPr>
          <w:ilvl w:val="0"/>
          <w:numId w:val="15"/>
        </w:numPr>
        <w:spacing w:line="259" w:lineRule="auto"/>
        <w:ind w:left="360"/>
        <w:jc w:val="both"/>
        <w:rPr>
          <w:rFonts w:cstheme="minorHAnsi"/>
        </w:rPr>
      </w:pPr>
      <w:r w:rsidRPr="00542BA1">
        <w:rPr>
          <w:rFonts w:cstheme="minorHAnsi"/>
        </w:rPr>
        <w:t>A broader understanding among the participants of how FAC enables transformative opportunities for funds servicing;</w:t>
      </w:r>
    </w:p>
    <w:p w14:paraId="64D83AAA" w14:textId="77777777" w:rsidR="00542BA1" w:rsidRPr="00542BA1" w:rsidRDefault="00542BA1" w:rsidP="00542BA1">
      <w:pPr>
        <w:pStyle w:val="ListParagraph"/>
        <w:widowControl/>
        <w:numPr>
          <w:ilvl w:val="0"/>
          <w:numId w:val="15"/>
        </w:numPr>
        <w:spacing w:line="259" w:lineRule="auto"/>
        <w:ind w:left="360"/>
        <w:jc w:val="both"/>
        <w:rPr>
          <w:rFonts w:cstheme="minorHAnsi"/>
        </w:rPr>
      </w:pPr>
      <w:r w:rsidRPr="00542BA1">
        <w:rPr>
          <w:rFonts w:cstheme="minorHAnsi"/>
        </w:rPr>
        <w:t>Confidence across the respective teams, in the FAC platform and the collaborative nature of the potential partnership;</w:t>
      </w:r>
    </w:p>
    <w:p w14:paraId="210DE02B" w14:textId="77777777" w:rsidR="00542BA1" w:rsidRPr="00542BA1" w:rsidRDefault="00542BA1" w:rsidP="00542BA1">
      <w:pPr>
        <w:pStyle w:val="NormalWeb"/>
        <w:numPr>
          <w:ilvl w:val="0"/>
          <w:numId w:val="15"/>
        </w:numPr>
        <w:spacing w:before="0" w:beforeAutospacing="0" w:after="0" w:afterAutospacing="0"/>
        <w:ind w:left="360"/>
        <w:jc w:val="both"/>
        <w:rPr>
          <w:rFonts w:asciiTheme="minorHAnsi" w:eastAsiaTheme="minorHAnsi" w:hAnsiTheme="minorHAnsi" w:cstheme="minorHAnsi"/>
          <w:sz w:val="22"/>
          <w:szCs w:val="22"/>
          <w:lang w:eastAsia="en-US"/>
        </w:rPr>
      </w:pPr>
      <w:r w:rsidRPr="00542BA1">
        <w:rPr>
          <w:rFonts w:asciiTheme="minorHAnsi" w:eastAsiaTheme="minorHAnsi" w:hAnsiTheme="minorHAnsi" w:cstheme="minorHAnsi"/>
          <w:sz w:val="22"/>
          <w:szCs w:val="22"/>
          <w:lang w:eastAsia="en-US"/>
        </w:rPr>
        <w:t>An agreed view of how close FAC is to a solution for funds servicing and what would be required to bring it to production;</w:t>
      </w:r>
    </w:p>
    <w:p w14:paraId="59214FA9" w14:textId="5CA42AE1" w:rsidR="00090605" w:rsidRPr="00542BA1" w:rsidRDefault="00542BA1" w:rsidP="00542BA1">
      <w:pPr>
        <w:pStyle w:val="NormalWeb"/>
        <w:numPr>
          <w:ilvl w:val="0"/>
          <w:numId w:val="15"/>
        </w:numPr>
        <w:spacing w:before="0" w:beforeAutospacing="0" w:after="0" w:afterAutospacing="0"/>
        <w:ind w:left="360"/>
        <w:jc w:val="both"/>
        <w:rPr>
          <w:rStyle w:val="a2"/>
          <w:rFonts w:asciiTheme="minorHAnsi" w:eastAsiaTheme="minorHAnsi" w:hAnsiTheme="minorHAnsi" w:cstheme="minorHAnsi"/>
          <w:i w:val="0"/>
          <w:iCs w:val="0"/>
          <w:sz w:val="22"/>
          <w:szCs w:val="22"/>
          <w:lang w:eastAsia="en-US"/>
        </w:rPr>
      </w:pPr>
      <w:r w:rsidRPr="00542BA1">
        <w:rPr>
          <w:rFonts w:asciiTheme="minorHAnsi" w:hAnsiTheme="minorHAnsi" w:cstheme="minorHAnsi"/>
          <w:sz w:val="22"/>
          <w:szCs w:val="22"/>
        </w:rPr>
        <w:t>Commitment for participant and SAG global fund managers to support the further development of FAC.</w:t>
      </w:r>
    </w:p>
    <w:p w14:paraId="39385F38" w14:textId="77777777" w:rsidR="001D42BE" w:rsidRPr="006A2BE9" w:rsidRDefault="001D42BE">
      <w:pPr>
        <w:jc w:val="both"/>
        <w:rPr>
          <w:rStyle w:val="a2"/>
          <w:i w:val="0"/>
          <w:lang w:val="en-US" w:eastAsia="zh-CN"/>
        </w:rPr>
      </w:pPr>
    </w:p>
    <w:sectPr w:rsidR="001D42BE" w:rsidRPr="006A2BE9">
      <w:headerReference w:type="default" r:id="rId8"/>
      <w:footerReference w:type="default" r:id="rId9"/>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9E892" w14:textId="77777777" w:rsidR="00EB6FD4" w:rsidRDefault="00EB6FD4">
      <w:r>
        <w:separator/>
      </w:r>
    </w:p>
  </w:endnote>
  <w:endnote w:type="continuationSeparator" w:id="0">
    <w:p w14:paraId="2A809110" w14:textId="77777777" w:rsidR="00EB6FD4" w:rsidRDefault="00EB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panose1 w:val="020B0604020202020204"/>
    <w:charset w:val="CC"/>
    <w:family w:val="swiss"/>
    <w:pitch w:val="default"/>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Tahoma">
    <w:altName w:val="Abyssinica SIL"/>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Mono">
    <w:altName w:val="Calibri"/>
    <w:panose1 w:val="020B0604020202020204"/>
    <w:charset w:val="CC"/>
    <w:family w:val="swiss"/>
    <w:pitch w:val="default"/>
    <w:sig w:usb0="E0000AFF" w:usb1="400078FF" w:usb2="00000001" w:usb3="00000000" w:csb0="600001BF" w:csb1="DFF70000"/>
  </w:font>
  <w:font w:name="NSimSun">
    <w:altName w:val="WenQuanYi Micro Hei"/>
    <w:panose1 w:val="02010609030101010101"/>
    <w:charset w:val="86"/>
    <w:family w:val="modern"/>
    <w:pitch w:val="fixed"/>
    <w:sig w:usb0="00000283" w:usb1="288F0000" w:usb2="00000016" w:usb3="00000000" w:csb0="00040001" w:csb1="00000000"/>
  </w:font>
  <w:font w:name="Liberation Sans">
    <w:altName w:val="Calibri"/>
    <w:panose1 w:val="020B0604020202020204"/>
    <w:charset w:val="CC"/>
    <w:family w:val="swiss"/>
    <w:pitch w:val="default"/>
    <w:sig w:usb0="E0000AFF" w:usb1="500078FF" w:usb2="00000021" w:usb3="00000000" w:csb0="600001BF" w:csb1="DFF70000"/>
  </w:font>
  <w:font w:name="Microsoft YaHei">
    <w:altName w:val="WenQuanYi Micro Hei"/>
    <w:panose1 w:val="020B0503020204020204"/>
    <w:charset w:val="86"/>
    <w:family w:val="swiss"/>
    <w:pitch w:val="variable"/>
    <w:sig w:usb0="80000287" w:usb1="2ACF3C50" w:usb2="00000016" w:usb3="00000000" w:csb0="0004001F" w:csb1="00000000"/>
  </w:font>
  <w:font w:name="Bahnschrift">
    <w:altName w:val="Calibri"/>
    <w:panose1 w:val="020B0604020202020204"/>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65FBC" w14:textId="38CA2F25" w:rsidR="00AF6A3B" w:rsidRDefault="00E41445">
    <w:pPr>
      <w:pStyle w:val="Footer"/>
    </w:pPr>
    <w:r>
      <w:rPr>
        <w:noProof/>
      </w:rPr>
      <mc:AlternateContent>
        <mc:Choice Requires="wps">
          <w:drawing>
            <wp:anchor distT="0" distB="0" distL="114300" distR="114300" simplePos="0" relativeHeight="251658240" behindDoc="0" locked="0" layoutInCell="1" allowOverlap="1" wp14:anchorId="58B65FBF" wp14:editId="75672B5A">
              <wp:simplePos x="0" y="0"/>
              <wp:positionH relativeFrom="margin">
                <wp:align>center</wp:align>
              </wp:positionH>
              <wp:positionV relativeFrom="paragraph">
                <wp:posOffset>0</wp:posOffset>
              </wp:positionV>
              <wp:extent cx="58420" cy="1397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B65FBF"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" filled="f" stroked="f">
              <v:textbox style="mso-fit-shape-to-text:t" inset="0,0,0,0">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rsidR="009B21C1">
      <w:t>V</w:t>
    </w:r>
    <w:r w:rsidR="006F131C">
      <w:t>1</w:t>
    </w:r>
    <w:r w:rsidR="009B21C1">
      <w:t xml:space="preserve">.0 </w:t>
    </w:r>
    <w:r w:rsidR="00127AC3">
      <w:t>Ju</w:t>
    </w:r>
    <w:r w:rsidR="006F131C">
      <w:t>ly</w:t>
    </w:r>
    <w:r w:rsidR="009B21C1">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BCB28" w14:textId="77777777" w:rsidR="00EB6FD4" w:rsidRDefault="00EB6FD4">
      <w:r>
        <w:separator/>
      </w:r>
    </w:p>
  </w:footnote>
  <w:footnote w:type="continuationSeparator" w:id="0">
    <w:p w14:paraId="71AB14BF" w14:textId="77777777" w:rsidR="00EB6FD4" w:rsidRDefault="00EB6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CE6E2" w14:textId="77777777" w:rsidR="00816893" w:rsidRPr="00893988" w:rsidRDefault="00816893" w:rsidP="00816893">
    <w:pPr>
      <w:jc w:val="center"/>
    </w:pPr>
    <w:r w:rsidRPr="00893988">
      <w:rPr>
        <w:noProof/>
      </w:rPr>
      <w:drawing>
        <wp:anchor distT="0" distB="0" distL="114300" distR="114300" simplePos="0" relativeHeight="251660288" behindDoc="1" locked="0" layoutInCell="1" allowOverlap="1" wp14:anchorId="68425FB7" wp14:editId="382BE3C1">
          <wp:simplePos x="0" y="0"/>
          <wp:positionH relativeFrom="column">
            <wp:posOffset>5286375</wp:posOffset>
          </wp:positionH>
          <wp:positionV relativeFrom="paragraph">
            <wp:posOffset>-430530</wp:posOffset>
          </wp:positionV>
          <wp:extent cx="1042587" cy="104258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 Logo 1 - FAC.png"/>
                  <pic:cNvPicPr/>
                </pic:nvPicPr>
                <pic:blipFill>
                  <a:blip r:embed="rId1">
                    <a:extLst>
                      <a:ext uri="{28A0092B-C50C-407E-A947-70E740481C1C}">
                        <a14:useLocalDpi xmlns:a14="http://schemas.microsoft.com/office/drawing/2010/main" val="0"/>
                      </a:ext>
                    </a:extLst>
                  </a:blip>
                  <a:stretch>
                    <a:fillRect/>
                  </a:stretch>
                </pic:blipFill>
                <pic:spPr>
                  <a:xfrm>
                    <a:off x="0" y="0"/>
                    <a:ext cx="1042587" cy="1042587"/>
                  </a:xfrm>
                  <a:prstGeom prst="rect">
                    <a:avLst/>
                  </a:prstGeom>
                </pic:spPr>
              </pic:pic>
            </a:graphicData>
          </a:graphic>
          <wp14:sizeRelH relativeFrom="page">
            <wp14:pctWidth>0</wp14:pctWidth>
          </wp14:sizeRelH>
          <wp14:sizeRelV relativeFrom="page">
            <wp14:pctHeight>0</wp14:pctHeight>
          </wp14:sizeRelV>
        </wp:anchor>
      </w:drawing>
    </w:r>
    <w:r w:rsidRPr="00893988">
      <w:t>FAC: A Next Generation, Transformational Platform for the Funds Industry</w:t>
    </w:r>
  </w:p>
  <w:p w14:paraId="58B65FBB" w14:textId="01715169" w:rsidR="00AF6A3B" w:rsidRDefault="00AF6A3B">
    <w:pPr>
      <w:pStyle w:val="Header"/>
      <w:tabs>
        <w:tab w:val="clear" w:pos="9026"/>
        <w:tab w:val="right" w:pos="9498"/>
      </w:tabs>
      <w:ind w:right="-472"/>
      <w:jc w:val="right"/>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3D7E"/>
    <w:multiLevelType w:val="hybridMultilevel"/>
    <w:tmpl w:val="747088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A2416"/>
    <w:multiLevelType w:val="hybridMultilevel"/>
    <w:tmpl w:val="0BE6D314"/>
    <w:lvl w:ilvl="0" w:tplc="5A8662CE">
      <w:start w:val="1"/>
      <w:numFmt w:val="decimal"/>
      <w:lvlText w:val="%1."/>
      <w:lvlJc w:val="left"/>
      <w:pPr>
        <w:tabs>
          <w:tab w:val="num" w:pos="720"/>
        </w:tabs>
        <w:ind w:left="720" w:hanging="360"/>
      </w:pPr>
    </w:lvl>
    <w:lvl w:ilvl="1" w:tplc="DAB0433A">
      <w:numFmt w:val="bullet"/>
      <w:lvlText w:val="•"/>
      <w:lvlJc w:val="left"/>
      <w:pPr>
        <w:tabs>
          <w:tab w:val="num" w:pos="1440"/>
        </w:tabs>
        <w:ind w:left="1440" w:hanging="360"/>
      </w:pPr>
      <w:rPr>
        <w:rFonts w:ascii="Arial" w:hAnsi="Arial" w:hint="default"/>
      </w:rPr>
    </w:lvl>
    <w:lvl w:ilvl="2" w:tplc="6F7E91F4" w:tentative="1">
      <w:start w:val="1"/>
      <w:numFmt w:val="decimal"/>
      <w:lvlText w:val="%3."/>
      <w:lvlJc w:val="left"/>
      <w:pPr>
        <w:tabs>
          <w:tab w:val="num" w:pos="2160"/>
        </w:tabs>
        <w:ind w:left="2160" w:hanging="360"/>
      </w:pPr>
    </w:lvl>
    <w:lvl w:ilvl="3" w:tplc="E8C09E26" w:tentative="1">
      <w:start w:val="1"/>
      <w:numFmt w:val="decimal"/>
      <w:lvlText w:val="%4."/>
      <w:lvlJc w:val="left"/>
      <w:pPr>
        <w:tabs>
          <w:tab w:val="num" w:pos="2880"/>
        </w:tabs>
        <w:ind w:left="2880" w:hanging="360"/>
      </w:pPr>
    </w:lvl>
    <w:lvl w:ilvl="4" w:tplc="A244904C" w:tentative="1">
      <w:start w:val="1"/>
      <w:numFmt w:val="decimal"/>
      <w:lvlText w:val="%5."/>
      <w:lvlJc w:val="left"/>
      <w:pPr>
        <w:tabs>
          <w:tab w:val="num" w:pos="3600"/>
        </w:tabs>
        <w:ind w:left="3600" w:hanging="360"/>
      </w:pPr>
    </w:lvl>
    <w:lvl w:ilvl="5" w:tplc="38825332" w:tentative="1">
      <w:start w:val="1"/>
      <w:numFmt w:val="decimal"/>
      <w:lvlText w:val="%6."/>
      <w:lvlJc w:val="left"/>
      <w:pPr>
        <w:tabs>
          <w:tab w:val="num" w:pos="4320"/>
        </w:tabs>
        <w:ind w:left="4320" w:hanging="360"/>
      </w:pPr>
    </w:lvl>
    <w:lvl w:ilvl="6" w:tplc="199602FA" w:tentative="1">
      <w:start w:val="1"/>
      <w:numFmt w:val="decimal"/>
      <w:lvlText w:val="%7."/>
      <w:lvlJc w:val="left"/>
      <w:pPr>
        <w:tabs>
          <w:tab w:val="num" w:pos="5040"/>
        </w:tabs>
        <w:ind w:left="5040" w:hanging="360"/>
      </w:pPr>
    </w:lvl>
    <w:lvl w:ilvl="7" w:tplc="B120BBEA" w:tentative="1">
      <w:start w:val="1"/>
      <w:numFmt w:val="decimal"/>
      <w:lvlText w:val="%8."/>
      <w:lvlJc w:val="left"/>
      <w:pPr>
        <w:tabs>
          <w:tab w:val="num" w:pos="5760"/>
        </w:tabs>
        <w:ind w:left="5760" w:hanging="360"/>
      </w:pPr>
    </w:lvl>
    <w:lvl w:ilvl="8" w:tplc="A1BE8092" w:tentative="1">
      <w:start w:val="1"/>
      <w:numFmt w:val="decimal"/>
      <w:lvlText w:val="%9."/>
      <w:lvlJc w:val="left"/>
      <w:pPr>
        <w:tabs>
          <w:tab w:val="num" w:pos="6480"/>
        </w:tabs>
        <w:ind w:left="6480" w:hanging="360"/>
      </w:pPr>
    </w:lvl>
  </w:abstractNum>
  <w:abstractNum w:abstractNumId="2" w15:restartNumberingAfterBreak="0">
    <w:nsid w:val="180E0BC1"/>
    <w:multiLevelType w:val="multilevel"/>
    <w:tmpl w:val="E15ADE9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05B05"/>
    <w:multiLevelType w:val="hybridMultilevel"/>
    <w:tmpl w:val="50F2B5AC"/>
    <w:lvl w:ilvl="0" w:tplc="F4C6E6A6">
      <w:start w:val="5"/>
      <w:numFmt w:val="decimal"/>
      <w:lvlText w:val="%1."/>
      <w:lvlJc w:val="left"/>
      <w:pPr>
        <w:tabs>
          <w:tab w:val="num" w:pos="720"/>
        </w:tabs>
        <w:ind w:left="720" w:hanging="360"/>
      </w:pPr>
    </w:lvl>
    <w:lvl w:ilvl="1" w:tplc="0E8A1470">
      <w:numFmt w:val="none"/>
      <w:lvlText w:val=""/>
      <w:lvlJc w:val="left"/>
      <w:pPr>
        <w:tabs>
          <w:tab w:val="num" w:pos="360"/>
        </w:tabs>
      </w:pPr>
    </w:lvl>
    <w:lvl w:ilvl="2" w:tplc="5FBC09B8" w:tentative="1">
      <w:start w:val="1"/>
      <w:numFmt w:val="decimal"/>
      <w:lvlText w:val="%3."/>
      <w:lvlJc w:val="left"/>
      <w:pPr>
        <w:tabs>
          <w:tab w:val="num" w:pos="2160"/>
        </w:tabs>
        <w:ind w:left="2160" w:hanging="360"/>
      </w:pPr>
    </w:lvl>
    <w:lvl w:ilvl="3" w:tplc="163EA6D0" w:tentative="1">
      <w:start w:val="1"/>
      <w:numFmt w:val="decimal"/>
      <w:lvlText w:val="%4."/>
      <w:lvlJc w:val="left"/>
      <w:pPr>
        <w:tabs>
          <w:tab w:val="num" w:pos="2880"/>
        </w:tabs>
        <w:ind w:left="2880" w:hanging="360"/>
      </w:pPr>
    </w:lvl>
    <w:lvl w:ilvl="4" w:tplc="28A0D4C0" w:tentative="1">
      <w:start w:val="1"/>
      <w:numFmt w:val="decimal"/>
      <w:lvlText w:val="%5."/>
      <w:lvlJc w:val="left"/>
      <w:pPr>
        <w:tabs>
          <w:tab w:val="num" w:pos="3600"/>
        </w:tabs>
        <w:ind w:left="3600" w:hanging="360"/>
      </w:pPr>
    </w:lvl>
    <w:lvl w:ilvl="5" w:tplc="4D622C2C" w:tentative="1">
      <w:start w:val="1"/>
      <w:numFmt w:val="decimal"/>
      <w:lvlText w:val="%6."/>
      <w:lvlJc w:val="left"/>
      <w:pPr>
        <w:tabs>
          <w:tab w:val="num" w:pos="4320"/>
        </w:tabs>
        <w:ind w:left="4320" w:hanging="360"/>
      </w:pPr>
    </w:lvl>
    <w:lvl w:ilvl="6" w:tplc="EDF44644" w:tentative="1">
      <w:start w:val="1"/>
      <w:numFmt w:val="decimal"/>
      <w:lvlText w:val="%7."/>
      <w:lvlJc w:val="left"/>
      <w:pPr>
        <w:tabs>
          <w:tab w:val="num" w:pos="5040"/>
        </w:tabs>
        <w:ind w:left="5040" w:hanging="360"/>
      </w:pPr>
    </w:lvl>
    <w:lvl w:ilvl="7" w:tplc="F27E4B6C" w:tentative="1">
      <w:start w:val="1"/>
      <w:numFmt w:val="decimal"/>
      <w:lvlText w:val="%8."/>
      <w:lvlJc w:val="left"/>
      <w:pPr>
        <w:tabs>
          <w:tab w:val="num" w:pos="5760"/>
        </w:tabs>
        <w:ind w:left="5760" w:hanging="360"/>
      </w:pPr>
    </w:lvl>
    <w:lvl w:ilvl="8" w:tplc="EB60876A" w:tentative="1">
      <w:start w:val="1"/>
      <w:numFmt w:val="decimal"/>
      <w:lvlText w:val="%9."/>
      <w:lvlJc w:val="left"/>
      <w:pPr>
        <w:tabs>
          <w:tab w:val="num" w:pos="6480"/>
        </w:tabs>
        <w:ind w:left="6480" w:hanging="360"/>
      </w:pPr>
    </w:lvl>
  </w:abstractNum>
  <w:abstractNum w:abstractNumId="4" w15:restartNumberingAfterBreak="0">
    <w:nsid w:val="32B91CC7"/>
    <w:multiLevelType w:val="hybridMultilevel"/>
    <w:tmpl w:val="8A8E042C"/>
    <w:lvl w:ilvl="0" w:tplc="08B2F3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FA33DA"/>
    <w:multiLevelType w:val="hybridMultilevel"/>
    <w:tmpl w:val="C6AE9100"/>
    <w:lvl w:ilvl="0" w:tplc="2F1C8CAA">
      <w:start w:val="1"/>
      <w:numFmt w:val="bullet"/>
      <w:lvlText w:val="•"/>
      <w:lvlJc w:val="left"/>
      <w:pPr>
        <w:tabs>
          <w:tab w:val="num" w:pos="720"/>
        </w:tabs>
        <w:ind w:left="720" w:hanging="360"/>
      </w:pPr>
      <w:rPr>
        <w:rFonts w:ascii="Arial" w:hAnsi="Arial" w:hint="default"/>
      </w:rPr>
    </w:lvl>
    <w:lvl w:ilvl="1" w:tplc="F65842CA" w:tentative="1">
      <w:start w:val="1"/>
      <w:numFmt w:val="bullet"/>
      <w:lvlText w:val="•"/>
      <w:lvlJc w:val="left"/>
      <w:pPr>
        <w:tabs>
          <w:tab w:val="num" w:pos="1440"/>
        </w:tabs>
        <w:ind w:left="1440" w:hanging="360"/>
      </w:pPr>
      <w:rPr>
        <w:rFonts w:ascii="Arial" w:hAnsi="Arial" w:hint="default"/>
      </w:rPr>
    </w:lvl>
    <w:lvl w:ilvl="2" w:tplc="A14A28A0" w:tentative="1">
      <w:start w:val="1"/>
      <w:numFmt w:val="bullet"/>
      <w:lvlText w:val="•"/>
      <w:lvlJc w:val="left"/>
      <w:pPr>
        <w:tabs>
          <w:tab w:val="num" w:pos="2160"/>
        </w:tabs>
        <w:ind w:left="2160" w:hanging="360"/>
      </w:pPr>
      <w:rPr>
        <w:rFonts w:ascii="Arial" w:hAnsi="Arial" w:hint="default"/>
      </w:rPr>
    </w:lvl>
    <w:lvl w:ilvl="3" w:tplc="E4924D90" w:tentative="1">
      <w:start w:val="1"/>
      <w:numFmt w:val="bullet"/>
      <w:lvlText w:val="•"/>
      <w:lvlJc w:val="left"/>
      <w:pPr>
        <w:tabs>
          <w:tab w:val="num" w:pos="2880"/>
        </w:tabs>
        <w:ind w:left="2880" w:hanging="360"/>
      </w:pPr>
      <w:rPr>
        <w:rFonts w:ascii="Arial" w:hAnsi="Arial" w:hint="default"/>
      </w:rPr>
    </w:lvl>
    <w:lvl w:ilvl="4" w:tplc="1B96B2AE" w:tentative="1">
      <w:start w:val="1"/>
      <w:numFmt w:val="bullet"/>
      <w:lvlText w:val="•"/>
      <w:lvlJc w:val="left"/>
      <w:pPr>
        <w:tabs>
          <w:tab w:val="num" w:pos="3600"/>
        </w:tabs>
        <w:ind w:left="3600" w:hanging="360"/>
      </w:pPr>
      <w:rPr>
        <w:rFonts w:ascii="Arial" w:hAnsi="Arial" w:hint="default"/>
      </w:rPr>
    </w:lvl>
    <w:lvl w:ilvl="5" w:tplc="36DCED62" w:tentative="1">
      <w:start w:val="1"/>
      <w:numFmt w:val="bullet"/>
      <w:lvlText w:val="•"/>
      <w:lvlJc w:val="left"/>
      <w:pPr>
        <w:tabs>
          <w:tab w:val="num" w:pos="4320"/>
        </w:tabs>
        <w:ind w:left="4320" w:hanging="360"/>
      </w:pPr>
      <w:rPr>
        <w:rFonts w:ascii="Arial" w:hAnsi="Arial" w:hint="default"/>
      </w:rPr>
    </w:lvl>
    <w:lvl w:ilvl="6" w:tplc="7DCED484" w:tentative="1">
      <w:start w:val="1"/>
      <w:numFmt w:val="bullet"/>
      <w:lvlText w:val="•"/>
      <w:lvlJc w:val="left"/>
      <w:pPr>
        <w:tabs>
          <w:tab w:val="num" w:pos="5040"/>
        </w:tabs>
        <w:ind w:left="5040" w:hanging="360"/>
      </w:pPr>
      <w:rPr>
        <w:rFonts w:ascii="Arial" w:hAnsi="Arial" w:hint="default"/>
      </w:rPr>
    </w:lvl>
    <w:lvl w:ilvl="7" w:tplc="4AC250B8" w:tentative="1">
      <w:start w:val="1"/>
      <w:numFmt w:val="bullet"/>
      <w:lvlText w:val="•"/>
      <w:lvlJc w:val="left"/>
      <w:pPr>
        <w:tabs>
          <w:tab w:val="num" w:pos="5760"/>
        </w:tabs>
        <w:ind w:left="5760" w:hanging="360"/>
      </w:pPr>
      <w:rPr>
        <w:rFonts w:ascii="Arial" w:hAnsi="Arial" w:hint="default"/>
      </w:rPr>
    </w:lvl>
    <w:lvl w:ilvl="8" w:tplc="3A2C22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526CA1"/>
    <w:multiLevelType w:val="hybridMultilevel"/>
    <w:tmpl w:val="3B7EA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F1DB7"/>
    <w:multiLevelType w:val="hybridMultilevel"/>
    <w:tmpl w:val="7CBCC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653340A"/>
    <w:multiLevelType w:val="multilevel"/>
    <w:tmpl w:val="1CFC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F74EE"/>
    <w:multiLevelType w:val="hybridMultilevel"/>
    <w:tmpl w:val="12CC7750"/>
    <w:lvl w:ilvl="0" w:tplc="A4BEC000">
      <w:start w:val="1"/>
      <w:numFmt w:val="bullet"/>
      <w:lvlText w:val=""/>
      <w:lvlJc w:val="left"/>
      <w:pPr>
        <w:ind w:left="720" w:hanging="360"/>
      </w:pPr>
      <w:rPr>
        <w:rFonts w:ascii="Symbol" w:hAnsi="Symbol" w:hint="default"/>
      </w:rPr>
    </w:lvl>
    <w:lvl w:ilvl="1" w:tplc="4D44AA0E" w:tentative="1">
      <w:start w:val="1"/>
      <w:numFmt w:val="bullet"/>
      <w:lvlText w:val="o"/>
      <w:lvlJc w:val="left"/>
      <w:pPr>
        <w:ind w:left="1440" w:hanging="360"/>
      </w:pPr>
      <w:rPr>
        <w:rFonts w:ascii="Courier New" w:hAnsi="Courier New" w:cs="Courier New" w:hint="default"/>
      </w:rPr>
    </w:lvl>
    <w:lvl w:ilvl="2" w:tplc="4BB4ACC8" w:tentative="1">
      <w:start w:val="1"/>
      <w:numFmt w:val="bullet"/>
      <w:lvlText w:val=""/>
      <w:lvlJc w:val="left"/>
      <w:pPr>
        <w:ind w:left="2160" w:hanging="360"/>
      </w:pPr>
      <w:rPr>
        <w:rFonts w:ascii="Wingdings" w:hAnsi="Wingdings" w:hint="default"/>
      </w:rPr>
    </w:lvl>
    <w:lvl w:ilvl="3" w:tplc="F7FAE5BC" w:tentative="1">
      <w:start w:val="1"/>
      <w:numFmt w:val="bullet"/>
      <w:lvlText w:val=""/>
      <w:lvlJc w:val="left"/>
      <w:pPr>
        <w:ind w:left="2880" w:hanging="360"/>
      </w:pPr>
      <w:rPr>
        <w:rFonts w:ascii="Symbol" w:hAnsi="Symbol" w:hint="default"/>
      </w:rPr>
    </w:lvl>
    <w:lvl w:ilvl="4" w:tplc="F6BAFFA8" w:tentative="1">
      <w:start w:val="1"/>
      <w:numFmt w:val="bullet"/>
      <w:lvlText w:val="o"/>
      <w:lvlJc w:val="left"/>
      <w:pPr>
        <w:ind w:left="3600" w:hanging="360"/>
      </w:pPr>
      <w:rPr>
        <w:rFonts w:ascii="Courier New" w:hAnsi="Courier New" w:cs="Courier New" w:hint="default"/>
      </w:rPr>
    </w:lvl>
    <w:lvl w:ilvl="5" w:tplc="5F1889A6" w:tentative="1">
      <w:start w:val="1"/>
      <w:numFmt w:val="bullet"/>
      <w:lvlText w:val=""/>
      <w:lvlJc w:val="left"/>
      <w:pPr>
        <w:ind w:left="4320" w:hanging="360"/>
      </w:pPr>
      <w:rPr>
        <w:rFonts w:ascii="Wingdings" w:hAnsi="Wingdings" w:hint="default"/>
      </w:rPr>
    </w:lvl>
    <w:lvl w:ilvl="6" w:tplc="4A88AB68" w:tentative="1">
      <w:start w:val="1"/>
      <w:numFmt w:val="bullet"/>
      <w:lvlText w:val=""/>
      <w:lvlJc w:val="left"/>
      <w:pPr>
        <w:ind w:left="5040" w:hanging="360"/>
      </w:pPr>
      <w:rPr>
        <w:rFonts w:ascii="Symbol" w:hAnsi="Symbol" w:hint="default"/>
      </w:rPr>
    </w:lvl>
    <w:lvl w:ilvl="7" w:tplc="3C0AD682" w:tentative="1">
      <w:start w:val="1"/>
      <w:numFmt w:val="bullet"/>
      <w:lvlText w:val="o"/>
      <w:lvlJc w:val="left"/>
      <w:pPr>
        <w:ind w:left="5760" w:hanging="360"/>
      </w:pPr>
      <w:rPr>
        <w:rFonts w:ascii="Courier New" w:hAnsi="Courier New" w:cs="Courier New" w:hint="default"/>
      </w:rPr>
    </w:lvl>
    <w:lvl w:ilvl="8" w:tplc="B78C0906" w:tentative="1">
      <w:start w:val="1"/>
      <w:numFmt w:val="bullet"/>
      <w:lvlText w:val=""/>
      <w:lvlJc w:val="left"/>
      <w:pPr>
        <w:ind w:left="6480" w:hanging="360"/>
      </w:pPr>
      <w:rPr>
        <w:rFonts w:ascii="Wingdings" w:hAnsi="Wingdings" w:hint="default"/>
      </w:rPr>
    </w:lvl>
  </w:abstractNum>
  <w:abstractNum w:abstractNumId="10" w15:restartNumberingAfterBreak="0">
    <w:nsid w:val="5DB6B23C"/>
    <w:multiLevelType w:val="multilevel"/>
    <w:tmpl w:val="5DB6B23C"/>
    <w:lvl w:ilvl="0">
      <w:start w:val="1"/>
      <w:numFmt w:val="bullet"/>
      <w:lvlText w:val=""/>
      <w:lvlJc w:val="left"/>
      <w:pPr>
        <w:tabs>
          <w:tab w:val="left" w:pos="720"/>
        </w:tabs>
        <w:ind w:left="720" w:hanging="360"/>
      </w:pPr>
      <w:rPr>
        <w:rFonts w:ascii="Symbol" w:hAnsi="Symbol" w:cs="OpenSymbol" w:hint="default"/>
      </w:rPr>
    </w:lvl>
    <w:lvl w:ilvl="1" w:tentative="1">
      <w:start w:val="1"/>
      <w:numFmt w:val="bullet"/>
      <w:lvlText w:val="◦"/>
      <w:lvlJc w:val="left"/>
      <w:pPr>
        <w:tabs>
          <w:tab w:val="left" w:pos="1080"/>
        </w:tabs>
        <w:ind w:left="1080" w:hanging="360"/>
      </w:pPr>
      <w:rPr>
        <w:rFonts w:ascii="OpenSymbol" w:hAnsi="OpenSymbol" w:cs="OpenSymbol" w:hint="default"/>
      </w:rPr>
    </w:lvl>
    <w:lvl w:ilvl="2" w:tentative="1">
      <w:start w:val="1"/>
      <w:numFmt w:val="bullet"/>
      <w:lvlText w:val="▪"/>
      <w:lvlJc w:val="left"/>
      <w:pPr>
        <w:tabs>
          <w:tab w:val="left" w:pos="1440"/>
        </w:tabs>
        <w:ind w:left="1440" w:hanging="360"/>
      </w:pPr>
      <w:rPr>
        <w:rFonts w:ascii="OpenSymbol" w:hAnsi="OpenSymbol" w:cs="OpenSymbol" w:hint="default"/>
      </w:rPr>
    </w:lvl>
    <w:lvl w:ilvl="3" w:tentative="1">
      <w:start w:val="1"/>
      <w:numFmt w:val="bullet"/>
      <w:lvlText w:val=""/>
      <w:lvlJc w:val="left"/>
      <w:pPr>
        <w:tabs>
          <w:tab w:val="left" w:pos="1800"/>
        </w:tabs>
        <w:ind w:left="1800" w:hanging="360"/>
      </w:pPr>
      <w:rPr>
        <w:rFonts w:ascii="Symbol" w:hAnsi="Symbol" w:cs="OpenSymbol" w:hint="default"/>
      </w:rPr>
    </w:lvl>
    <w:lvl w:ilvl="4" w:tentative="1">
      <w:start w:val="1"/>
      <w:numFmt w:val="bullet"/>
      <w:lvlText w:val="◦"/>
      <w:lvlJc w:val="left"/>
      <w:pPr>
        <w:tabs>
          <w:tab w:val="left" w:pos="2160"/>
        </w:tabs>
        <w:ind w:left="2160" w:hanging="360"/>
      </w:pPr>
      <w:rPr>
        <w:rFonts w:ascii="OpenSymbol" w:hAnsi="OpenSymbol" w:cs="OpenSymbol" w:hint="default"/>
      </w:rPr>
    </w:lvl>
    <w:lvl w:ilvl="5" w:tentative="1">
      <w:start w:val="1"/>
      <w:numFmt w:val="bullet"/>
      <w:lvlText w:val="▪"/>
      <w:lvlJc w:val="left"/>
      <w:pPr>
        <w:tabs>
          <w:tab w:val="left" w:pos="2520"/>
        </w:tabs>
        <w:ind w:left="2520" w:hanging="360"/>
      </w:pPr>
      <w:rPr>
        <w:rFonts w:ascii="OpenSymbol" w:hAnsi="OpenSymbol" w:cs="OpenSymbol" w:hint="default"/>
      </w:rPr>
    </w:lvl>
    <w:lvl w:ilvl="6" w:tentative="1">
      <w:start w:val="1"/>
      <w:numFmt w:val="bullet"/>
      <w:lvlText w:val=""/>
      <w:lvlJc w:val="left"/>
      <w:pPr>
        <w:tabs>
          <w:tab w:val="left" w:pos="2880"/>
        </w:tabs>
        <w:ind w:left="2880" w:hanging="360"/>
      </w:pPr>
      <w:rPr>
        <w:rFonts w:ascii="Symbol" w:hAnsi="Symbol" w:cs="OpenSymbol" w:hint="default"/>
      </w:rPr>
    </w:lvl>
    <w:lvl w:ilvl="7" w:tentative="1">
      <w:start w:val="1"/>
      <w:numFmt w:val="bullet"/>
      <w:lvlText w:val="◦"/>
      <w:lvlJc w:val="left"/>
      <w:pPr>
        <w:tabs>
          <w:tab w:val="left" w:pos="3240"/>
        </w:tabs>
        <w:ind w:left="3240" w:hanging="360"/>
      </w:pPr>
      <w:rPr>
        <w:rFonts w:ascii="OpenSymbol" w:hAnsi="OpenSymbol" w:cs="OpenSymbol" w:hint="default"/>
      </w:rPr>
    </w:lvl>
    <w:lvl w:ilvl="8" w:tentative="1">
      <w:start w:val="1"/>
      <w:numFmt w:val="bullet"/>
      <w:lvlText w:val="▪"/>
      <w:lvlJc w:val="left"/>
      <w:pPr>
        <w:tabs>
          <w:tab w:val="left" w:pos="3600"/>
        </w:tabs>
        <w:ind w:left="3600" w:hanging="360"/>
      </w:pPr>
      <w:rPr>
        <w:rFonts w:ascii="OpenSymbol" w:hAnsi="OpenSymbol" w:cs="OpenSymbol" w:hint="default"/>
      </w:rPr>
    </w:lvl>
  </w:abstractNum>
  <w:abstractNum w:abstractNumId="11" w15:restartNumberingAfterBreak="0">
    <w:nsid w:val="5DB6B25D"/>
    <w:multiLevelType w:val="multilevel"/>
    <w:tmpl w:val="5DB6B25D"/>
    <w:lvl w:ilvl="0">
      <w:start w:val="1"/>
      <w:numFmt w:val="bullet"/>
      <w:lvlText w:val=""/>
      <w:lvlJc w:val="left"/>
      <w:pPr>
        <w:tabs>
          <w:tab w:val="left" w:pos="420"/>
        </w:tabs>
        <w:ind w:left="420" w:hanging="420"/>
      </w:pPr>
      <w:rPr>
        <w:rFonts w:ascii="Wingdings" w:hAnsi="Wingdings" w:cs="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2" w15:restartNumberingAfterBreak="0">
    <w:nsid w:val="5F3A6C7E"/>
    <w:multiLevelType w:val="hybridMultilevel"/>
    <w:tmpl w:val="EB083AF6"/>
    <w:lvl w:ilvl="0" w:tplc="5E14AB80">
      <w:start w:val="1"/>
      <w:numFmt w:val="bullet"/>
      <w:lvlText w:val="•"/>
      <w:lvlJc w:val="left"/>
      <w:pPr>
        <w:tabs>
          <w:tab w:val="num" w:pos="720"/>
        </w:tabs>
        <w:ind w:left="720" w:hanging="360"/>
      </w:pPr>
      <w:rPr>
        <w:rFonts w:ascii="Arial" w:hAnsi="Arial" w:hint="default"/>
      </w:rPr>
    </w:lvl>
    <w:lvl w:ilvl="1" w:tplc="BCFED866" w:tentative="1">
      <w:start w:val="1"/>
      <w:numFmt w:val="bullet"/>
      <w:lvlText w:val="•"/>
      <w:lvlJc w:val="left"/>
      <w:pPr>
        <w:tabs>
          <w:tab w:val="num" w:pos="1440"/>
        </w:tabs>
        <w:ind w:left="1440" w:hanging="360"/>
      </w:pPr>
      <w:rPr>
        <w:rFonts w:ascii="Arial" w:hAnsi="Arial" w:hint="default"/>
      </w:rPr>
    </w:lvl>
    <w:lvl w:ilvl="2" w:tplc="4D8AFFA4" w:tentative="1">
      <w:start w:val="1"/>
      <w:numFmt w:val="bullet"/>
      <w:lvlText w:val="•"/>
      <w:lvlJc w:val="left"/>
      <w:pPr>
        <w:tabs>
          <w:tab w:val="num" w:pos="2160"/>
        </w:tabs>
        <w:ind w:left="2160" w:hanging="360"/>
      </w:pPr>
      <w:rPr>
        <w:rFonts w:ascii="Arial" w:hAnsi="Arial" w:hint="default"/>
      </w:rPr>
    </w:lvl>
    <w:lvl w:ilvl="3" w:tplc="E06E7014" w:tentative="1">
      <w:start w:val="1"/>
      <w:numFmt w:val="bullet"/>
      <w:lvlText w:val="•"/>
      <w:lvlJc w:val="left"/>
      <w:pPr>
        <w:tabs>
          <w:tab w:val="num" w:pos="2880"/>
        </w:tabs>
        <w:ind w:left="2880" w:hanging="360"/>
      </w:pPr>
      <w:rPr>
        <w:rFonts w:ascii="Arial" w:hAnsi="Arial" w:hint="default"/>
      </w:rPr>
    </w:lvl>
    <w:lvl w:ilvl="4" w:tplc="475286E0" w:tentative="1">
      <w:start w:val="1"/>
      <w:numFmt w:val="bullet"/>
      <w:lvlText w:val="•"/>
      <w:lvlJc w:val="left"/>
      <w:pPr>
        <w:tabs>
          <w:tab w:val="num" w:pos="3600"/>
        </w:tabs>
        <w:ind w:left="3600" w:hanging="360"/>
      </w:pPr>
      <w:rPr>
        <w:rFonts w:ascii="Arial" w:hAnsi="Arial" w:hint="default"/>
      </w:rPr>
    </w:lvl>
    <w:lvl w:ilvl="5" w:tplc="D426588A" w:tentative="1">
      <w:start w:val="1"/>
      <w:numFmt w:val="bullet"/>
      <w:lvlText w:val="•"/>
      <w:lvlJc w:val="left"/>
      <w:pPr>
        <w:tabs>
          <w:tab w:val="num" w:pos="4320"/>
        </w:tabs>
        <w:ind w:left="4320" w:hanging="360"/>
      </w:pPr>
      <w:rPr>
        <w:rFonts w:ascii="Arial" w:hAnsi="Arial" w:hint="default"/>
      </w:rPr>
    </w:lvl>
    <w:lvl w:ilvl="6" w:tplc="1A36C998" w:tentative="1">
      <w:start w:val="1"/>
      <w:numFmt w:val="bullet"/>
      <w:lvlText w:val="•"/>
      <w:lvlJc w:val="left"/>
      <w:pPr>
        <w:tabs>
          <w:tab w:val="num" w:pos="5040"/>
        </w:tabs>
        <w:ind w:left="5040" w:hanging="360"/>
      </w:pPr>
      <w:rPr>
        <w:rFonts w:ascii="Arial" w:hAnsi="Arial" w:hint="default"/>
      </w:rPr>
    </w:lvl>
    <w:lvl w:ilvl="7" w:tplc="5464EEB2" w:tentative="1">
      <w:start w:val="1"/>
      <w:numFmt w:val="bullet"/>
      <w:lvlText w:val="•"/>
      <w:lvlJc w:val="left"/>
      <w:pPr>
        <w:tabs>
          <w:tab w:val="num" w:pos="5760"/>
        </w:tabs>
        <w:ind w:left="5760" w:hanging="360"/>
      </w:pPr>
      <w:rPr>
        <w:rFonts w:ascii="Arial" w:hAnsi="Arial" w:hint="default"/>
      </w:rPr>
    </w:lvl>
    <w:lvl w:ilvl="8" w:tplc="CD1434D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164C8E"/>
    <w:multiLevelType w:val="hybridMultilevel"/>
    <w:tmpl w:val="1EE0E5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303792D"/>
    <w:multiLevelType w:val="hybridMultilevel"/>
    <w:tmpl w:val="10A87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8"/>
  </w:num>
  <w:num w:numId="5">
    <w:abstractNumId w:val="2"/>
  </w:num>
  <w:num w:numId="6">
    <w:abstractNumId w:val="12"/>
  </w:num>
  <w:num w:numId="7">
    <w:abstractNumId w:val="6"/>
  </w:num>
  <w:num w:numId="8">
    <w:abstractNumId w:val="14"/>
  </w:num>
  <w:num w:numId="9">
    <w:abstractNumId w:val="4"/>
  </w:num>
  <w:num w:numId="10">
    <w:abstractNumId w:val="0"/>
  </w:num>
  <w:num w:numId="11">
    <w:abstractNumId w:val="13"/>
  </w:num>
  <w:num w:numId="12">
    <w:abstractNumId w:val="1"/>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TQxMzA3sDQ1sDRR0lEKTi0uzszPAykwNKsFANRLLo8tAAAA"/>
  </w:docVars>
  <w:rsids>
    <w:rsidRoot w:val="00AF6A3B"/>
    <w:rsid w:val="EFEFBFAC"/>
    <w:rsid w:val="00090605"/>
    <w:rsid w:val="000D0454"/>
    <w:rsid w:val="000E5A72"/>
    <w:rsid w:val="000F4C18"/>
    <w:rsid w:val="00110048"/>
    <w:rsid w:val="00120681"/>
    <w:rsid w:val="00121DC9"/>
    <w:rsid w:val="00125469"/>
    <w:rsid w:val="00127AC3"/>
    <w:rsid w:val="00160A2A"/>
    <w:rsid w:val="00164A9B"/>
    <w:rsid w:val="00182182"/>
    <w:rsid w:val="001B3A92"/>
    <w:rsid w:val="001C4834"/>
    <w:rsid w:val="001D42BE"/>
    <w:rsid w:val="001E455B"/>
    <w:rsid w:val="00251E6F"/>
    <w:rsid w:val="00253A6C"/>
    <w:rsid w:val="0027505F"/>
    <w:rsid w:val="00295CF5"/>
    <w:rsid w:val="002E48BB"/>
    <w:rsid w:val="002F4098"/>
    <w:rsid w:val="00306828"/>
    <w:rsid w:val="00306DBB"/>
    <w:rsid w:val="00371623"/>
    <w:rsid w:val="003A12AF"/>
    <w:rsid w:val="003C14C8"/>
    <w:rsid w:val="00401B89"/>
    <w:rsid w:val="00414109"/>
    <w:rsid w:val="00430033"/>
    <w:rsid w:val="00434E34"/>
    <w:rsid w:val="0044257F"/>
    <w:rsid w:val="0046733D"/>
    <w:rsid w:val="004765E0"/>
    <w:rsid w:val="00495641"/>
    <w:rsid w:val="00506760"/>
    <w:rsid w:val="00513672"/>
    <w:rsid w:val="00530587"/>
    <w:rsid w:val="005420FF"/>
    <w:rsid w:val="0054226C"/>
    <w:rsid w:val="00542BA1"/>
    <w:rsid w:val="005550EA"/>
    <w:rsid w:val="005A6B88"/>
    <w:rsid w:val="005A7406"/>
    <w:rsid w:val="005F1D4F"/>
    <w:rsid w:val="00610544"/>
    <w:rsid w:val="00637AA8"/>
    <w:rsid w:val="00641C15"/>
    <w:rsid w:val="00674C37"/>
    <w:rsid w:val="006866AA"/>
    <w:rsid w:val="006A2BE9"/>
    <w:rsid w:val="006C63CE"/>
    <w:rsid w:val="006C66D5"/>
    <w:rsid w:val="006D0A41"/>
    <w:rsid w:val="006D6FA9"/>
    <w:rsid w:val="006D7615"/>
    <w:rsid w:val="006F131C"/>
    <w:rsid w:val="00701AB8"/>
    <w:rsid w:val="00767558"/>
    <w:rsid w:val="0078354A"/>
    <w:rsid w:val="00795ADD"/>
    <w:rsid w:val="007C6DA1"/>
    <w:rsid w:val="007E236B"/>
    <w:rsid w:val="007E41E7"/>
    <w:rsid w:val="007F622D"/>
    <w:rsid w:val="00806062"/>
    <w:rsid w:val="00816893"/>
    <w:rsid w:val="00854EC2"/>
    <w:rsid w:val="0087624C"/>
    <w:rsid w:val="008A32E3"/>
    <w:rsid w:val="00930A3B"/>
    <w:rsid w:val="00990E74"/>
    <w:rsid w:val="009A5EC8"/>
    <w:rsid w:val="009B21C1"/>
    <w:rsid w:val="00A372D6"/>
    <w:rsid w:val="00A47514"/>
    <w:rsid w:val="00A616FD"/>
    <w:rsid w:val="00A91D9A"/>
    <w:rsid w:val="00AD15BD"/>
    <w:rsid w:val="00AD7C95"/>
    <w:rsid w:val="00AE5C16"/>
    <w:rsid w:val="00AF0911"/>
    <w:rsid w:val="00AF6A3B"/>
    <w:rsid w:val="00B01761"/>
    <w:rsid w:val="00B23142"/>
    <w:rsid w:val="00B92150"/>
    <w:rsid w:val="00BA5C81"/>
    <w:rsid w:val="00BA6E4B"/>
    <w:rsid w:val="00BC0D23"/>
    <w:rsid w:val="00BC1D80"/>
    <w:rsid w:val="00BD4C91"/>
    <w:rsid w:val="00C0001C"/>
    <w:rsid w:val="00C65036"/>
    <w:rsid w:val="00C917C5"/>
    <w:rsid w:val="00CB71A1"/>
    <w:rsid w:val="00CD0EC8"/>
    <w:rsid w:val="00CD2F8C"/>
    <w:rsid w:val="00D31087"/>
    <w:rsid w:val="00D444F7"/>
    <w:rsid w:val="00DA3FCF"/>
    <w:rsid w:val="00E05FBF"/>
    <w:rsid w:val="00E116A8"/>
    <w:rsid w:val="00E12D30"/>
    <w:rsid w:val="00E41445"/>
    <w:rsid w:val="00E4147F"/>
    <w:rsid w:val="00E56600"/>
    <w:rsid w:val="00E61A63"/>
    <w:rsid w:val="00E72B0A"/>
    <w:rsid w:val="00E92A3F"/>
    <w:rsid w:val="00EA1E91"/>
    <w:rsid w:val="00EA7A3A"/>
    <w:rsid w:val="00EB6FD4"/>
    <w:rsid w:val="00ED6EC1"/>
    <w:rsid w:val="00EF245C"/>
    <w:rsid w:val="00F33EF4"/>
    <w:rsid w:val="00F35FF8"/>
    <w:rsid w:val="00F7254F"/>
    <w:rsid w:val="00F85163"/>
    <w:rsid w:val="00FE6A30"/>
    <w:rsid w:val="7FFBEBDB"/>
  </w:rsids>
  <m:mathPr>
    <m:mathFont m:val="Cambria Math"/>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65F78"/>
  <w15:docId w15:val="{6AA9DAD1-200D-47E9-816A-EB69788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rFonts w:asciiTheme="minorHAnsi" w:eastAsiaTheme="minorEastAsia" w:hAnsiTheme="minorHAnsi" w:cs="Calibri"/>
      <w:sz w:val="22"/>
      <w:szCs w:val="22"/>
      <w:lang w:val="en-AU" w:eastAsia="en-AU"/>
    </w:rPr>
  </w:style>
  <w:style w:type="paragraph" w:styleId="Heading1">
    <w:name w:val="heading 1"/>
    <w:basedOn w:val="Normal"/>
    <w:next w:val="Normal"/>
    <w:uiPriority w:val="9"/>
    <w:qFormat/>
    <w:pPr>
      <w:keepNext/>
      <w:keepLines/>
      <w:pageBreakBefore/>
      <w:spacing w:before="340" w:after="330" w:line="578" w:lineRule="auto"/>
      <w:outlineLvl w:val="0"/>
    </w:pPr>
    <w:rPr>
      <w:b/>
      <w:bCs/>
      <w:kern w:val="2"/>
      <w:sz w:val="32"/>
      <w:szCs w:val="32"/>
    </w:rPr>
  </w:style>
  <w:style w:type="paragraph" w:styleId="Heading2">
    <w:name w:val="heading 2"/>
    <w:basedOn w:val="Normal"/>
    <w:next w:val="Normal"/>
    <w:link w:val="Heading2Char"/>
    <w:uiPriority w:val="9"/>
    <w:unhideWhenUsed/>
    <w:qFormat/>
    <w:pPr>
      <w:keepNext/>
      <w:keepLines/>
      <w:spacing w:before="260" w:after="260" w:line="415" w:lineRule="auto"/>
      <w:outlineLvl w:val="1"/>
    </w:pPr>
    <w:rPr>
      <w:rFonts w:eastAsia="SimHei"/>
      <w:b/>
      <w:bCs/>
      <w:sz w:val="28"/>
      <w:szCs w:val="28"/>
    </w:rPr>
  </w:style>
  <w:style w:type="paragraph" w:styleId="Heading3">
    <w:name w:val="heading 3"/>
    <w:basedOn w:val="Normal"/>
    <w:next w:val="Normal"/>
    <w:uiPriority w:val="9"/>
    <w:unhideWhenUsed/>
    <w:qFormat/>
    <w:pPr>
      <w:keepNext/>
      <w:keepLines/>
      <w:spacing w:before="260" w:after="260" w:line="415" w:lineRule="auto"/>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rFonts w:ascii="Tahoma" w:hAnsi="Tahoma" w:cs="Tahoma"/>
      <w:sz w:val="16"/>
      <w:szCs w:val="16"/>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a"/>
    <w:uiPriority w:val="99"/>
    <w:unhideWhenUsed/>
    <w:qFormat/>
    <w:pPr>
      <w:tabs>
        <w:tab w:val="center" w:pos="4513"/>
        <w:tab w:val="right" w:pos="9026"/>
      </w:tabs>
    </w:pPr>
  </w:style>
  <w:style w:type="paragraph" w:customStyle="1" w:styleId="a">
    <w:name w:val="Верхний и нижний колонтитулы"/>
    <w:basedOn w:val="Normal"/>
    <w:qFormat/>
  </w:style>
  <w:style w:type="paragraph" w:styleId="Header">
    <w:name w:val="header"/>
    <w:basedOn w:val="a"/>
    <w:uiPriority w:val="99"/>
    <w:unhideWhenUsed/>
    <w:qFormat/>
    <w:pPr>
      <w:tabs>
        <w:tab w:val="center" w:pos="4513"/>
        <w:tab w:val="right" w:pos="9026"/>
      </w:tabs>
    </w:pPr>
  </w:style>
  <w:style w:type="paragraph" w:styleId="List">
    <w:name w:val="List"/>
    <w:basedOn w:val="BodyText"/>
    <w:rPr>
      <w:rFonts w:cs="Arial"/>
    </w:rPr>
  </w:style>
  <w:style w:type="paragraph" w:styleId="Subtitle">
    <w:name w:val="Subtitle"/>
    <w:basedOn w:val="Normal"/>
    <w:next w:val="Normal"/>
    <w:uiPriority w:val="11"/>
    <w:qFormat/>
    <w:pPr>
      <w:jc w:val="right"/>
    </w:pPr>
    <w:rPr>
      <w:i/>
      <w:color w:val="2E75B5"/>
      <w:sz w:val="24"/>
      <w:szCs w:val="24"/>
    </w:rPr>
  </w:style>
  <w:style w:type="paragraph" w:styleId="Title">
    <w:name w:val="Title"/>
    <w:basedOn w:val="Normal"/>
    <w:next w:val="Normal"/>
    <w:uiPriority w:val="10"/>
    <w:qFormat/>
    <w:pPr>
      <w:pBdr>
        <w:bottom w:val="single" w:sz="8" w:space="4" w:color="009900"/>
      </w:pBdr>
      <w:spacing w:before="120" w:after="300"/>
      <w:jc w:val="right"/>
    </w:pPr>
    <w:rPr>
      <w:b/>
      <w:color w:val="009900"/>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firstLine="960"/>
    </w:pPr>
  </w:style>
  <w:style w:type="paragraph" w:styleId="TOC3">
    <w:name w:val="toc 3"/>
    <w:basedOn w:val="Normal"/>
    <w:next w:val="Normal"/>
    <w:uiPriority w:val="39"/>
    <w:unhideWhenUsed/>
    <w:pPr>
      <w:ind w:left="840" w:firstLine="960"/>
    </w:pPr>
  </w:style>
  <w:style w:type="character" w:styleId="FollowedHyperlink">
    <w:name w:val="FollowedHyperlink"/>
    <w:basedOn w:val="DefaultParagraphFont"/>
    <w:uiPriority w:val="99"/>
    <w:unhideWhenUsed/>
    <w:qFormat/>
    <w:rPr>
      <w:color w:val="800080"/>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character" w:customStyle="1" w:styleId="-">
    <w:name w:val="Интернет-ссылка"/>
    <w:basedOn w:val="DefaultParagraphFont"/>
    <w:uiPriority w:val="99"/>
    <w:unhideWhenUsed/>
    <w:rPr>
      <w:color w:val="0000FF"/>
      <w:u w:val="single"/>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emiHidden/>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ing2Char">
    <w:name w:val="Heading 2 Char"/>
    <w:link w:val="Heading2"/>
    <w:qFormat/>
    <w:rPr>
      <w:rFonts w:asciiTheme="minorHAnsi" w:eastAsiaTheme="minorEastAsia" w:hAnsiTheme="minorHAnsi" w:cs="Calibri"/>
      <w:b/>
      <w:bCs/>
      <w:kern w:val="2"/>
      <w:sz w:val="32"/>
      <w:szCs w:val="32"/>
    </w:rPr>
  </w:style>
  <w:style w:type="character" w:customStyle="1" w:styleId="a0">
    <w:name w:val="Ссылка указателя"/>
    <w:qFormat/>
  </w:style>
  <w:style w:type="character" w:customStyle="1" w:styleId="InternetLink">
    <w:name w:val="Internet Link"/>
    <w:basedOn w:val="DefaultParagraphFont"/>
    <w:qFormat/>
    <w:rPr>
      <w:color w:val="0000FF"/>
      <w:u w:val="single"/>
    </w:rPr>
  </w:style>
  <w:style w:type="character" w:customStyle="1" w:styleId="TitleChar">
    <w:name w:val="Title Char"/>
    <w:qFormat/>
    <w:rPr>
      <w:b/>
      <w:color w:val="009900"/>
      <w:sz w:val="52"/>
      <w:szCs w:val="52"/>
    </w:rPr>
  </w:style>
  <w:style w:type="character" w:customStyle="1" w:styleId="a1">
    <w:name w:val="Маркеры списка"/>
    <w:qFormat/>
    <w:rPr>
      <w:rFonts w:ascii="OpenSymbol" w:eastAsia="OpenSymbol" w:hAnsi="OpenSymbol" w:cs="OpenSymbol"/>
    </w:rPr>
  </w:style>
  <w:style w:type="character" w:customStyle="1" w:styleId="a2">
    <w:name w:val="Выделение"/>
    <w:qFormat/>
    <w:rPr>
      <w:i/>
      <w:iCs/>
    </w:rPr>
  </w:style>
  <w:style w:type="character" w:customStyle="1" w:styleId="a3">
    <w:name w:val="Исходный текст"/>
    <w:qFormat/>
    <w:rPr>
      <w:rFonts w:ascii="Liberation Mono" w:eastAsia="NSimSun" w:hAnsi="Liberation Mono" w:cs="Liberation Mono"/>
    </w:rPr>
  </w:style>
  <w:style w:type="character" w:customStyle="1" w:styleId="a4">
    <w:name w:val="Выделение жирным"/>
    <w:qFormat/>
    <w:rPr>
      <w:b/>
      <w:bCs/>
    </w:rPr>
  </w:style>
  <w:style w:type="paragraph" w:customStyle="1" w:styleId="a5">
    <w:name w:val="Заголовок"/>
    <w:basedOn w:val="Normal"/>
    <w:next w:val="BodyText"/>
    <w:qFormat/>
    <w:pPr>
      <w:keepNext/>
      <w:spacing w:before="240" w:after="120"/>
    </w:pPr>
    <w:rPr>
      <w:rFonts w:ascii="Liberation Sans" w:eastAsia="Microsoft YaHei" w:hAnsi="Liberation Sans" w:cs="Arial"/>
      <w:sz w:val="28"/>
      <w:szCs w:val="28"/>
    </w:rPr>
  </w:style>
  <w:style w:type="paragraph" w:customStyle="1" w:styleId="a6">
    <w:name w:val="Указатель"/>
    <w:basedOn w:val="Normal"/>
    <w:qFormat/>
    <w:pPr>
      <w:suppressLineNumbers/>
    </w:pPr>
    <w:rPr>
      <w:rFonts w:cs="Arial"/>
    </w:rPr>
  </w:style>
  <w:style w:type="paragraph" w:customStyle="1" w:styleId="ListParagraph1">
    <w:name w:val="List Paragraph1"/>
    <w:basedOn w:val="Normal"/>
    <w:uiPriority w:val="34"/>
    <w:qFormat/>
    <w:pPr>
      <w:ind w:left="720"/>
      <w:contextualSpacing/>
    </w:pPr>
  </w:style>
  <w:style w:type="paragraph" w:customStyle="1" w:styleId="a7">
    <w:name w:val="Содержимое врезки"/>
    <w:basedOn w:val="Normal"/>
    <w:qFormat/>
  </w:style>
  <w:style w:type="paragraph" w:customStyle="1" w:styleId="a8">
    <w:name w:val="Блочная цитата"/>
    <w:basedOn w:val="Normal"/>
    <w:qFormat/>
    <w:pPr>
      <w:spacing w:after="283"/>
      <w:ind w:left="567" w:right="567"/>
    </w:pPr>
  </w:style>
  <w:style w:type="table" w:customStyle="1" w:styleId="LightShading-Accent11">
    <w:name w:val="Light Shading - Accent 11"/>
    <w:basedOn w:val="TableNormal"/>
    <w:uiPriority w:val="60"/>
    <w:qFormat/>
    <w:pPr>
      <w:spacing w:after="0" w:line="240" w:lineRule="auto"/>
    </w:pPr>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spacing w:after="0"/>
    </w:pPr>
    <w:rPr>
      <w:color w:val="000000"/>
    </w:rPr>
    <w:tblPr>
      <w:tblCellMar>
        <w:left w:w="115" w:type="dxa"/>
        <w:right w:w="115" w:type="dxa"/>
      </w:tblCellMar>
    </w:tblPr>
    <w:tcPr>
      <w:shd w:val="clear" w:color="auto" w:fill="EEF5FA"/>
    </w:tcPr>
  </w:style>
  <w:style w:type="paragraph" w:styleId="NormalWeb">
    <w:name w:val="Normal (Web)"/>
    <w:basedOn w:val="Normal"/>
    <w:uiPriority w:val="99"/>
    <w:unhideWhenUsed/>
    <w:rsid w:val="00816893"/>
    <w:pPr>
      <w:widowControl/>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917C5"/>
    <w:rPr>
      <w:color w:val="0563C1" w:themeColor="hyperlink"/>
      <w:u w:val="single"/>
    </w:rPr>
  </w:style>
  <w:style w:type="character" w:styleId="UnresolvedMention">
    <w:name w:val="Unresolved Mention"/>
    <w:basedOn w:val="DefaultParagraphFont"/>
    <w:uiPriority w:val="99"/>
    <w:semiHidden/>
    <w:unhideWhenUsed/>
    <w:rsid w:val="00C917C5"/>
    <w:rPr>
      <w:color w:val="605E5C"/>
      <w:shd w:val="clear" w:color="auto" w:fill="E1DFDD"/>
    </w:rPr>
  </w:style>
  <w:style w:type="character" w:styleId="Strong">
    <w:name w:val="Strong"/>
    <w:basedOn w:val="DefaultParagraphFont"/>
    <w:uiPriority w:val="22"/>
    <w:qFormat/>
    <w:rsid w:val="00795ADD"/>
    <w:rPr>
      <w:b/>
      <w:bCs/>
    </w:rPr>
  </w:style>
  <w:style w:type="character" w:styleId="Emphasis">
    <w:name w:val="Emphasis"/>
    <w:basedOn w:val="DefaultParagraphFont"/>
    <w:uiPriority w:val="20"/>
    <w:qFormat/>
    <w:rsid w:val="00795ADD"/>
    <w:rPr>
      <w:i/>
      <w:iCs/>
    </w:rPr>
  </w:style>
  <w:style w:type="paragraph" w:styleId="NoSpacing">
    <w:name w:val="No Spacing"/>
    <w:link w:val="NoSpacingChar"/>
    <w:uiPriority w:val="1"/>
    <w:qFormat/>
    <w:rsid w:val="001D42BE"/>
    <w:pPr>
      <w:spacing w:after="0" w:line="240" w:lineRule="auto"/>
    </w:pPr>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1D42BE"/>
    <w:rPr>
      <w:rFonts w:asciiTheme="minorHAnsi" w:eastAsiaTheme="minorHAnsi" w:hAnsiTheme="minorHAnsi" w:cstheme="minorBidi"/>
      <w:sz w:val="22"/>
      <w:szCs w:val="22"/>
      <w:lang w:eastAsia="en-US"/>
    </w:rPr>
  </w:style>
  <w:style w:type="paragraph" w:styleId="ListParagraph">
    <w:name w:val="List Paragraph"/>
    <w:aliases w:val="Bullet 1,Bullet Points,Colorful List - Accent 11,Dot pt,F5 List Paragraph,Indicator Text,List Paragraph Char Char Char,List Paragraph12,List Paragraph2,MAIN CONTENT,No Spacing1,Normal numbered,Numbered Para 1,OBC Bullet"/>
    <w:basedOn w:val="Normal"/>
    <w:link w:val="ListParagraphChar"/>
    <w:uiPriority w:val="34"/>
    <w:qFormat/>
    <w:rsid w:val="001D42BE"/>
    <w:pPr>
      <w:ind w:left="720"/>
      <w:contextualSpacing/>
    </w:pPr>
  </w:style>
  <w:style w:type="character" w:customStyle="1" w:styleId="ListParagraphChar">
    <w:name w:val="List Paragraph Char"/>
    <w:aliases w:val="Bullet 1 Char,Bullet Points Char,Colorful List - Accent 11 Char,Dot pt Char,F5 List Paragraph Char,Indicator Text Char,List Paragraph Char Char Char Char,List Paragraph12 Char,List Paragraph2 Char,MAIN CONTENT Char,No Spacing1 Char"/>
    <w:basedOn w:val="DefaultParagraphFont"/>
    <w:link w:val="ListParagraph"/>
    <w:uiPriority w:val="34"/>
    <w:locked/>
    <w:rsid w:val="00B01761"/>
    <w:rPr>
      <w:rFonts w:asciiTheme="minorHAnsi" w:eastAsiaTheme="minorEastAsia" w:hAnsiTheme="minorHAnsi" w:cs="Calibri"/>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7140">
      <w:bodyDiv w:val="1"/>
      <w:marLeft w:val="0"/>
      <w:marRight w:val="0"/>
      <w:marTop w:val="0"/>
      <w:marBottom w:val="0"/>
      <w:divBdr>
        <w:top w:val="none" w:sz="0" w:space="0" w:color="auto"/>
        <w:left w:val="none" w:sz="0" w:space="0" w:color="auto"/>
        <w:bottom w:val="none" w:sz="0" w:space="0" w:color="auto"/>
        <w:right w:val="none" w:sz="0" w:space="0" w:color="auto"/>
      </w:divBdr>
      <w:divsChild>
        <w:div w:id="1213418978">
          <w:marLeft w:val="0"/>
          <w:marRight w:val="0"/>
          <w:marTop w:val="0"/>
          <w:marBottom w:val="0"/>
          <w:divBdr>
            <w:top w:val="none" w:sz="0" w:space="0" w:color="auto"/>
            <w:left w:val="none" w:sz="0" w:space="0" w:color="auto"/>
            <w:bottom w:val="none" w:sz="0" w:space="0" w:color="auto"/>
            <w:right w:val="none" w:sz="0" w:space="0" w:color="auto"/>
          </w:divBdr>
          <w:divsChild>
            <w:div w:id="18033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096">
      <w:bodyDiv w:val="1"/>
      <w:marLeft w:val="0"/>
      <w:marRight w:val="0"/>
      <w:marTop w:val="0"/>
      <w:marBottom w:val="0"/>
      <w:divBdr>
        <w:top w:val="none" w:sz="0" w:space="0" w:color="auto"/>
        <w:left w:val="none" w:sz="0" w:space="0" w:color="auto"/>
        <w:bottom w:val="none" w:sz="0" w:space="0" w:color="auto"/>
        <w:right w:val="none" w:sz="0" w:space="0" w:color="auto"/>
      </w:divBdr>
      <w:divsChild>
        <w:div w:id="253906975">
          <w:marLeft w:val="446"/>
          <w:marRight w:val="0"/>
          <w:marTop w:val="240"/>
          <w:marBottom w:val="120"/>
          <w:divBdr>
            <w:top w:val="none" w:sz="0" w:space="0" w:color="auto"/>
            <w:left w:val="none" w:sz="0" w:space="0" w:color="auto"/>
            <w:bottom w:val="none" w:sz="0" w:space="0" w:color="auto"/>
            <w:right w:val="none" w:sz="0" w:space="0" w:color="auto"/>
          </w:divBdr>
        </w:div>
        <w:div w:id="2051152635">
          <w:marLeft w:val="446"/>
          <w:marRight w:val="0"/>
          <w:marTop w:val="240"/>
          <w:marBottom w:val="120"/>
          <w:divBdr>
            <w:top w:val="none" w:sz="0" w:space="0" w:color="auto"/>
            <w:left w:val="none" w:sz="0" w:space="0" w:color="auto"/>
            <w:bottom w:val="none" w:sz="0" w:space="0" w:color="auto"/>
            <w:right w:val="none" w:sz="0" w:space="0" w:color="auto"/>
          </w:divBdr>
        </w:div>
        <w:div w:id="842016411">
          <w:marLeft w:val="446"/>
          <w:marRight w:val="0"/>
          <w:marTop w:val="240"/>
          <w:marBottom w:val="120"/>
          <w:divBdr>
            <w:top w:val="none" w:sz="0" w:space="0" w:color="auto"/>
            <w:left w:val="none" w:sz="0" w:space="0" w:color="auto"/>
            <w:bottom w:val="none" w:sz="0" w:space="0" w:color="auto"/>
            <w:right w:val="none" w:sz="0" w:space="0" w:color="auto"/>
          </w:divBdr>
        </w:div>
        <w:div w:id="1878421849">
          <w:marLeft w:val="446"/>
          <w:marRight w:val="0"/>
          <w:marTop w:val="240"/>
          <w:marBottom w:val="120"/>
          <w:divBdr>
            <w:top w:val="none" w:sz="0" w:space="0" w:color="auto"/>
            <w:left w:val="none" w:sz="0" w:space="0" w:color="auto"/>
            <w:bottom w:val="none" w:sz="0" w:space="0" w:color="auto"/>
            <w:right w:val="none" w:sz="0" w:space="0" w:color="auto"/>
          </w:divBdr>
        </w:div>
        <w:div w:id="1330258066">
          <w:marLeft w:val="446"/>
          <w:marRight w:val="0"/>
          <w:marTop w:val="240"/>
          <w:marBottom w:val="120"/>
          <w:divBdr>
            <w:top w:val="none" w:sz="0" w:space="0" w:color="auto"/>
            <w:left w:val="none" w:sz="0" w:space="0" w:color="auto"/>
            <w:bottom w:val="none" w:sz="0" w:space="0" w:color="auto"/>
            <w:right w:val="none" w:sz="0" w:space="0" w:color="auto"/>
          </w:divBdr>
        </w:div>
      </w:divsChild>
    </w:div>
    <w:div w:id="789322543">
      <w:bodyDiv w:val="1"/>
      <w:marLeft w:val="0"/>
      <w:marRight w:val="0"/>
      <w:marTop w:val="0"/>
      <w:marBottom w:val="0"/>
      <w:divBdr>
        <w:top w:val="none" w:sz="0" w:space="0" w:color="auto"/>
        <w:left w:val="none" w:sz="0" w:space="0" w:color="auto"/>
        <w:bottom w:val="none" w:sz="0" w:space="0" w:color="auto"/>
        <w:right w:val="none" w:sz="0" w:space="0" w:color="auto"/>
      </w:divBdr>
    </w:div>
    <w:div w:id="984088986">
      <w:bodyDiv w:val="1"/>
      <w:marLeft w:val="0"/>
      <w:marRight w:val="0"/>
      <w:marTop w:val="0"/>
      <w:marBottom w:val="0"/>
      <w:divBdr>
        <w:top w:val="none" w:sz="0" w:space="0" w:color="auto"/>
        <w:left w:val="none" w:sz="0" w:space="0" w:color="auto"/>
        <w:bottom w:val="none" w:sz="0" w:space="0" w:color="auto"/>
        <w:right w:val="none" w:sz="0" w:space="0" w:color="auto"/>
      </w:divBdr>
    </w:div>
    <w:div w:id="1100375483">
      <w:bodyDiv w:val="1"/>
      <w:marLeft w:val="0"/>
      <w:marRight w:val="0"/>
      <w:marTop w:val="0"/>
      <w:marBottom w:val="0"/>
      <w:divBdr>
        <w:top w:val="none" w:sz="0" w:space="0" w:color="auto"/>
        <w:left w:val="none" w:sz="0" w:space="0" w:color="auto"/>
        <w:bottom w:val="none" w:sz="0" w:space="0" w:color="auto"/>
        <w:right w:val="none" w:sz="0" w:space="0" w:color="auto"/>
      </w:divBdr>
      <w:divsChild>
        <w:div w:id="1649743135">
          <w:marLeft w:val="720"/>
          <w:marRight w:val="0"/>
          <w:marTop w:val="120"/>
          <w:marBottom w:val="0"/>
          <w:divBdr>
            <w:top w:val="none" w:sz="0" w:space="0" w:color="auto"/>
            <w:left w:val="none" w:sz="0" w:space="0" w:color="auto"/>
            <w:bottom w:val="none" w:sz="0" w:space="0" w:color="auto"/>
            <w:right w:val="none" w:sz="0" w:space="0" w:color="auto"/>
          </w:divBdr>
        </w:div>
        <w:div w:id="421688455">
          <w:marLeft w:val="1166"/>
          <w:marRight w:val="0"/>
          <w:marTop w:val="120"/>
          <w:marBottom w:val="0"/>
          <w:divBdr>
            <w:top w:val="none" w:sz="0" w:space="0" w:color="auto"/>
            <w:left w:val="none" w:sz="0" w:space="0" w:color="auto"/>
            <w:bottom w:val="none" w:sz="0" w:space="0" w:color="auto"/>
            <w:right w:val="none" w:sz="0" w:space="0" w:color="auto"/>
          </w:divBdr>
        </w:div>
        <w:div w:id="2076122456">
          <w:marLeft w:val="720"/>
          <w:marRight w:val="0"/>
          <w:marTop w:val="120"/>
          <w:marBottom w:val="0"/>
          <w:divBdr>
            <w:top w:val="none" w:sz="0" w:space="0" w:color="auto"/>
            <w:left w:val="none" w:sz="0" w:space="0" w:color="auto"/>
            <w:bottom w:val="none" w:sz="0" w:space="0" w:color="auto"/>
            <w:right w:val="none" w:sz="0" w:space="0" w:color="auto"/>
          </w:divBdr>
        </w:div>
        <w:div w:id="925379938">
          <w:marLeft w:val="1166"/>
          <w:marRight w:val="0"/>
          <w:marTop w:val="120"/>
          <w:marBottom w:val="0"/>
          <w:divBdr>
            <w:top w:val="none" w:sz="0" w:space="0" w:color="auto"/>
            <w:left w:val="none" w:sz="0" w:space="0" w:color="auto"/>
            <w:bottom w:val="none" w:sz="0" w:space="0" w:color="auto"/>
            <w:right w:val="none" w:sz="0" w:space="0" w:color="auto"/>
          </w:divBdr>
        </w:div>
        <w:div w:id="966551357">
          <w:marLeft w:val="720"/>
          <w:marRight w:val="0"/>
          <w:marTop w:val="120"/>
          <w:marBottom w:val="0"/>
          <w:divBdr>
            <w:top w:val="none" w:sz="0" w:space="0" w:color="auto"/>
            <w:left w:val="none" w:sz="0" w:space="0" w:color="auto"/>
            <w:bottom w:val="none" w:sz="0" w:space="0" w:color="auto"/>
            <w:right w:val="none" w:sz="0" w:space="0" w:color="auto"/>
          </w:divBdr>
        </w:div>
        <w:div w:id="1962569740">
          <w:marLeft w:val="1166"/>
          <w:marRight w:val="0"/>
          <w:marTop w:val="120"/>
          <w:marBottom w:val="0"/>
          <w:divBdr>
            <w:top w:val="none" w:sz="0" w:space="0" w:color="auto"/>
            <w:left w:val="none" w:sz="0" w:space="0" w:color="auto"/>
            <w:bottom w:val="none" w:sz="0" w:space="0" w:color="auto"/>
            <w:right w:val="none" w:sz="0" w:space="0" w:color="auto"/>
          </w:divBdr>
        </w:div>
        <w:div w:id="9911429">
          <w:marLeft w:val="720"/>
          <w:marRight w:val="0"/>
          <w:marTop w:val="120"/>
          <w:marBottom w:val="0"/>
          <w:divBdr>
            <w:top w:val="none" w:sz="0" w:space="0" w:color="auto"/>
            <w:left w:val="none" w:sz="0" w:space="0" w:color="auto"/>
            <w:bottom w:val="none" w:sz="0" w:space="0" w:color="auto"/>
            <w:right w:val="none" w:sz="0" w:space="0" w:color="auto"/>
          </w:divBdr>
        </w:div>
        <w:div w:id="268046805">
          <w:marLeft w:val="1166"/>
          <w:marRight w:val="0"/>
          <w:marTop w:val="120"/>
          <w:marBottom w:val="0"/>
          <w:divBdr>
            <w:top w:val="none" w:sz="0" w:space="0" w:color="auto"/>
            <w:left w:val="none" w:sz="0" w:space="0" w:color="auto"/>
            <w:bottom w:val="none" w:sz="0" w:space="0" w:color="auto"/>
            <w:right w:val="none" w:sz="0" w:space="0" w:color="auto"/>
          </w:divBdr>
        </w:div>
        <w:div w:id="1135876109">
          <w:marLeft w:val="720"/>
          <w:marRight w:val="0"/>
          <w:marTop w:val="120"/>
          <w:marBottom w:val="0"/>
          <w:divBdr>
            <w:top w:val="none" w:sz="0" w:space="0" w:color="auto"/>
            <w:left w:val="none" w:sz="0" w:space="0" w:color="auto"/>
            <w:bottom w:val="none" w:sz="0" w:space="0" w:color="auto"/>
            <w:right w:val="none" w:sz="0" w:space="0" w:color="auto"/>
          </w:divBdr>
        </w:div>
        <w:div w:id="1086077196">
          <w:marLeft w:val="1166"/>
          <w:marRight w:val="0"/>
          <w:marTop w:val="120"/>
          <w:marBottom w:val="0"/>
          <w:divBdr>
            <w:top w:val="none" w:sz="0" w:space="0" w:color="auto"/>
            <w:left w:val="none" w:sz="0" w:space="0" w:color="auto"/>
            <w:bottom w:val="none" w:sz="0" w:space="0" w:color="auto"/>
            <w:right w:val="none" w:sz="0" w:space="0" w:color="auto"/>
          </w:divBdr>
        </w:div>
        <w:div w:id="1473909002">
          <w:marLeft w:val="1166"/>
          <w:marRight w:val="0"/>
          <w:marTop w:val="120"/>
          <w:marBottom w:val="0"/>
          <w:divBdr>
            <w:top w:val="none" w:sz="0" w:space="0" w:color="auto"/>
            <w:left w:val="none" w:sz="0" w:space="0" w:color="auto"/>
            <w:bottom w:val="none" w:sz="0" w:space="0" w:color="auto"/>
            <w:right w:val="none" w:sz="0" w:space="0" w:color="auto"/>
          </w:divBdr>
        </w:div>
      </w:divsChild>
    </w:div>
    <w:div w:id="1229878554">
      <w:bodyDiv w:val="1"/>
      <w:marLeft w:val="0"/>
      <w:marRight w:val="0"/>
      <w:marTop w:val="0"/>
      <w:marBottom w:val="0"/>
      <w:divBdr>
        <w:top w:val="none" w:sz="0" w:space="0" w:color="auto"/>
        <w:left w:val="none" w:sz="0" w:space="0" w:color="auto"/>
        <w:bottom w:val="none" w:sz="0" w:space="0" w:color="auto"/>
        <w:right w:val="none" w:sz="0" w:space="0" w:color="auto"/>
      </w:divBdr>
      <w:divsChild>
        <w:div w:id="1790735862">
          <w:marLeft w:val="446"/>
          <w:marRight w:val="0"/>
          <w:marTop w:val="0"/>
          <w:marBottom w:val="0"/>
          <w:divBdr>
            <w:top w:val="none" w:sz="0" w:space="0" w:color="auto"/>
            <w:left w:val="none" w:sz="0" w:space="0" w:color="auto"/>
            <w:bottom w:val="none" w:sz="0" w:space="0" w:color="auto"/>
            <w:right w:val="none" w:sz="0" w:space="0" w:color="auto"/>
          </w:divBdr>
        </w:div>
        <w:div w:id="296188157">
          <w:marLeft w:val="446"/>
          <w:marRight w:val="0"/>
          <w:marTop w:val="0"/>
          <w:marBottom w:val="0"/>
          <w:divBdr>
            <w:top w:val="none" w:sz="0" w:space="0" w:color="auto"/>
            <w:left w:val="none" w:sz="0" w:space="0" w:color="auto"/>
            <w:bottom w:val="none" w:sz="0" w:space="0" w:color="auto"/>
            <w:right w:val="none" w:sz="0" w:space="0" w:color="auto"/>
          </w:divBdr>
        </w:div>
        <w:div w:id="650985369">
          <w:marLeft w:val="446"/>
          <w:marRight w:val="0"/>
          <w:marTop w:val="0"/>
          <w:marBottom w:val="0"/>
          <w:divBdr>
            <w:top w:val="none" w:sz="0" w:space="0" w:color="auto"/>
            <w:left w:val="none" w:sz="0" w:space="0" w:color="auto"/>
            <w:bottom w:val="none" w:sz="0" w:space="0" w:color="auto"/>
            <w:right w:val="none" w:sz="0" w:space="0" w:color="auto"/>
          </w:divBdr>
        </w:div>
        <w:div w:id="481624966">
          <w:marLeft w:val="547"/>
          <w:marRight w:val="0"/>
          <w:marTop w:val="0"/>
          <w:marBottom w:val="160"/>
          <w:divBdr>
            <w:top w:val="none" w:sz="0" w:space="0" w:color="auto"/>
            <w:left w:val="none" w:sz="0" w:space="0" w:color="auto"/>
            <w:bottom w:val="none" w:sz="0" w:space="0" w:color="auto"/>
            <w:right w:val="none" w:sz="0" w:space="0" w:color="auto"/>
          </w:divBdr>
        </w:div>
        <w:div w:id="64843942">
          <w:marLeft w:val="446"/>
          <w:marRight w:val="0"/>
          <w:marTop w:val="0"/>
          <w:marBottom w:val="0"/>
          <w:divBdr>
            <w:top w:val="none" w:sz="0" w:space="0" w:color="auto"/>
            <w:left w:val="none" w:sz="0" w:space="0" w:color="auto"/>
            <w:bottom w:val="none" w:sz="0" w:space="0" w:color="auto"/>
            <w:right w:val="none" w:sz="0" w:space="0" w:color="auto"/>
          </w:divBdr>
        </w:div>
      </w:divsChild>
    </w:div>
    <w:div w:id="1736123735">
      <w:bodyDiv w:val="1"/>
      <w:marLeft w:val="0"/>
      <w:marRight w:val="0"/>
      <w:marTop w:val="0"/>
      <w:marBottom w:val="0"/>
      <w:divBdr>
        <w:top w:val="none" w:sz="0" w:space="0" w:color="auto"/>
        <w:left w:val="none" w:sz="0" w:space="0" w:color="auto"/>
        <w:bottom w:val="none" w:sz="0" w:space="0" w:color="auto"/>
        <w:right w:val="none" w:sz="0" w:space="0" w:color="auto"/>
      </w:divBdr>
    </w:div>
    <w:div w:id="209998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Canagasabey</dc:creator>
  <cp:lastModifiedBy>Microsoft Office User</cp:lastModifiedBy>
  <cp:revision>4</cp:revision>
  <dcterms:created xsi:type="dcterms:W3CDTF">2020-07-03T09:26:00Z</dcterms:created>
  <dcterms:modified xsi:type="dcterms:W3CDTF">2020-07-03T09:29:00Z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