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r>
        <w:t xml:space="preserve"/>
      </w:r>
    </w:p>
    <w:p>
      <w:pPr>
        <w:jc w:val="center"/>
      </w:pPr>
      <w:r>
        <w:rPr>
          <w:rFonts w:ascii="Arial" w:cs="Arial" w:eastAsia="Arial" w:hAnsi="Arial"/>
          <w:b/>
          <w:bCs/>
          <w:color w:val="1B4F8A"/>
          <w:sz w:val="48"/>
          <w:szCs w:val="48"/>
        </w:rPr>
        <w:t xml:space="preserve">REQUEST FOR PROPOSAL</w:t>
      </w:r>
    </w:p>
    <w:p>
      <w:pPr>
        <w:spacing w:after="200"/>
      </w:pPr>
      <w:r>
        <w:t xml:space="preserve"/>
      </w:r>
    </w:p>
    <w:p>
      <w:pPr>
        <w:spacing w:after="80"/>
        <w:jc w:val="center"/>
      </w:pPr>
      <w:r>
        <w:rPr>
          <w:rFonts w:ascii="Arial" w:cs="Arial" w:eastAsia="Arial" w:hAnsi="Arial"/>
          <w:b/>
          <w:bCs/>
          <w:color w:val="1A1A2E"/>
          <w:sz w:val="36"/>
          <w:szCs w:val="36"/>
        </w:rPr>
        <w:t xml:space="preserve">CEF Portfolio Intelligence Platform</w:t>
      </w:r>
    </w:p>
    <w:p>
      <w:pPr>
        <w:spacing w:after="200"/>
        <w:jc w:val="center"/>
      </w:pPr>
      <w:r>
        <w:rPr>
          <w:rFonts w:ascii="Arial" w:cs="Arial" w:eastAsia="Arial" w:hAnsi="Arial"/>
          <w:b/>
          <w:bCs/>
          <w:color w:val="17657A"/>
          <w:sz w:val="30"/>
          <w:szCs w:val="30"/>
        </w:rPr>
        <w:t xml:space="preserve">(CEF-PIP)</w:t>
      </w:r>
    </w:p>
    <w:p>
      <w:pPr>
        <w:pBdr>
          <w:bottom w:val="single" w:color="2980B9" w:sz="12" w:space="6"/>
        </w:pBdr>
        <w:spacing w:after="300"/>
        <w:jc w:val="center"/>
      </w:pPr>
      <w:r>
        <w:rPr>
          <w:rFonts w:ascii="Arial" w:cs="Arial" w:eastAsia="Arial" w:hAnsi="Arial"/>
          <w:color w:val="444444"/>
          <w:sz w:val="26"/>
          <w:szCs w:val="26"/>
        </w:rPr>
        <w:t xml:space="preserve">Software Development Services</w:t>
      </w:r>
    </w:p>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1"/>
              <w:bottom w:val="single" w:color="1B4F8A" w:sz="1"/>
              <w:right w:val="single" w:color="1B4F8A" w:sz="1"/>
            </w:tcBorders>
            <w:shd w:fill="D6E4F0" w:val="clear"/>
            <w:tcMar>
              <w:top w:type="dxa" w:w="200"/>
              <w:left w:type="dxa" w:w="400"/>
              <w:bottom w:type="dxa" w:w="200"/>
              <w:right w:type="dxa" w:w="400"/>
            </w:tcMar>
          </w:tcPr>
          <w:p>
            <w:pPr>
              <w:spacing w:after="80"/>
              <w:jc w:val="center"/>
            </w:pPr>
            <w:r>
              <w:rPr>
                <w:rFonts w:ascii="Arial" w:cs="Arial" w:eastAsia="Arial" w:hAnsi="Arial"/>
                <w:b/>
                <w:bCs/>
                <w:color w:val="17657A"/>
                <w:sz w:val="18"/>
                <w:szCs w:val="18"/>
              </w:rPr>
              <w:t xml:space="preserve">ISSUED BY</w:t>
            </w:r>
          </w:p>
          <w:p>
            <w:pPr>
              <w:spacing w:after="80"/>
              <w:jc w:val="center"/>
            </w:pPr>
            <w:r>
              <w:rPr>
                <w:rFonts w:ascii="Arial" w:cs="Arial" w:eastAsia="Arial" w:hAnsi="Arial"/>
                <w:b/>
                <w:bCs/>
                <w:color w:val="1B4F8A"/>
                <w:sz w:val="26"/>
                <w:szCs w:val="26"/>
              </w:rPr>
              <w:t xml:space="preserve">Clean Energy Fund (CEF)</w:t>
            </w:r>
          </w:p>
          <w:p>
            <w:pPr>
              <w:spacing w:after="60"/>
              <w:jc w:val="center"/>
            </w:pPr>
            <w:r>
              <w:rPr>
                <w:rFonts w:ascii="Arial" w:cs="Arial" w:eastAsia="Arial" w:hAnsi="Arial"/>
                <w:color w:val="1A1A2E"/>
                <w:sz w:val="22"/>
                <w:szCs w:val="22"/>
              </w:rPr>
              <w:t xml:space="preserve">Information Technology Team</w:t>
            </w:r>
          </w:p>
          <w:p>
            <w:pPr>
              <w:spacing w:after="60"/>
              <w:jc w:val="center"/>
            </w:pPr>
            <w:r>
              <w:rPr>
                <w:rFonts w:ascii="Arial" w:cs="Arial" w:eastAsia="Arial" w:hAnsi="Arial"/>
                <w:b/>
                <w:bCs/>
                <w:color w:val="1A1A2E"/>
                <w:sz w:val="20"/>
                <w:szCs w:val="20"/>
              </w:rPr>
              <w:t xml:space="preserve">RFP Reference: CEF-IT-2026-PIP-001</w:t>
            </w:r>
          </w:p>
          <w:p>
            <w:pPr>
              <w:spacing w:after="0"/>
              <w:jc w:val="center"/>
            </w:pPr>
            <w:r>
              <w:rPr>
                <w:rFonts w:ascii="Arial" w:cs="Arial" w:eastAsia="Arial" w:hAnsi="Arial"/>
                <w:color w:val="666666"/>
                <w:sz w:val="20"/>
                <w:szCs w:val="20"/>
              </w:rPr>
              <w:t xml:space="preserve">Issue Date: May 2026</w:t>
            </w:r>
          </w:p>
        </w:tc>
      </w:tr>
    </w:tbl>
    <w:p>
      <w:pPr>
        <w:spacing w:after="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Proposal Submission Deadline</w:t>
            </w:r>
          </w:p>
        </w:tc>
        <w:tc>
          <w:tcPr>
            <w:tcW w:type="dxa" w:w="63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[TO BE CONFIRMED — minimum 21 days from issue date]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Submission Method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Email to [IT Lead email address] with subject: CEF-PIP RFP Response — [Vendor Name]</w:t>
            </w:r>
          </w:p>
        </w:tc>
      </w:tr>
      <w:tr>
        <w:trPr>
          <w:tblHeader w:val="false"/>
        </w:trPr>
        <w:tc>
          <w:tcPr>
            <w:tcW w:type="dxa" w:w="3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Technical Queries Deadline</w:t>
            </w:r>
          </w:p>
        </w:tc>
        <w:tc>
          <w:tcPr>
            <w:tcW w:type="dxa" w:w="63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[TO BE CONFIRMED — minimum 10 days from issue date]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Queries Submitted To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[IT Lead email address] — subject: CEF-PIP RFP Query — [Vendor Name]</w:t>
            </w:r>
          </w:p>
        </w:tc>
      </w:tr>
      <w:tr>
        <w:trPr>
          <w:tblHeader w:val="false"/>
        </w:trPr>
        <w:tc>
          <w:tcPr>
            <w:tcW w:type="dxa" w:w="3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Expected Award Date</w:t>
            </w:r>
          </w:p>
        </w:tc>
        <w:tc>
          <w:tcPr>
            <w:tcW w:type="dxa" w:w="63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[TO BE CONFIRMED]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Expected Project Start Date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[TO BE CONFIRMED — within 4 weeks of award]</w:t>
            </w:r>
          </w:p>
        </w:tc>
      </w:tr>
    </w:tbl>
    <w:p>
      <w:pPr>
        <w:spacing w:after="300"/>
      </w:pPr>
      <w:r>
        <w:t xml:space="preserve"/>
      </w:r>
    </w:p>
    <w:p>
      <w:pPr>
        <w:jc w:val="center"/>
      </w:pPr>
      <w:r>
        <w:rPr>
          <w:rFonts w:ascii="Arial" w:cs="Arial" w:eastAsia="Arial" w:hAnsi="Arial"/>
          <w:b/>
          <w:bCs/>
          <w:color w:val="CC0000"/>
          <w:sz w:val="20"/>
          <w:szCs w:val="20"/>
        </w:rPr>
        <w:t xml:space="preserve">CONFIDENTIAL — DO NOT DISTRIBUTE</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Table of Contents</w:t>
      </w:r>
    </w:p>
    <w:p>
      <w:r>
        <w:rPr>
          <w:rFonts w:ascii="Arial" w:cs="Arial" w:eastAsia="Arial" w:hAnsi="Arial"/>
          <w:color w:val="888888"/>
          <w:sz w:val="20"/>
          <w:szCs w:val="20"/>
        </w:rPr>
        <w:t xml:space="preserve">[ Right-click in Microsoft Word → Update Field to refresh ]</w:t>
      </w:r>
    </w:p>
    <w:p>
      <w:pPr>
        <w:spacing w:after="80"/>
      </w:pPr>
      <w:r>
        <w:t xml:space="preserve"/>
      </w:r>
    </w:p>
    <w:p>
      <w:pPr>
        <w:tabs>
          <w:tab w:val="right" w:pos="9000"/>
        </w:tabs>
        <w:spacing w:after="80"/>
      </w:pPr>
      <w:r>
        <w:rPr>
          <w:rFonts w:ascii="Arial" w:cs="Arial" w:eastAsia="Arial" w:hAnsi="Arial"/>
          <w:color w:val="1A1A2E"/>
          <w:sz w:val="21"/>
          <w:szCs w:val="21"/>
        </w:rPr>
        <w:t xml:space="preserve">1.  Introduction &amp; Background</w:t>
      </w:r>
      <w:r>
        <w:rPr>
          <w:rFonts w:ascii="Arial" w:cs="Arial" w:eastAsia="Arial" w:hAnsi="Arial"/>
          <w:color w:val="888888"/>
          <w:sz w:val="21"/>
          <w:szCs w:val="21"/>
        </w:rPr>
        <w:t xml:space="preserve">	4</w:t>
      </w:r>
    </w:p>
    <w:p>
      <w:pPr>
        <w:tabs>
          <w:tab w:val="right" w:pos="9000"/>
        </w:tabs>
        <w:spacing w:after="80"/>
      </w:pPr>
      <w:r>
        <w:rPr>
          <w:rFonts w:ascii="Arial" w:cs="Arial" w:eastAsia="Arial" w:hAnsi="Arial"/>
          <w:color w:val="1A1A2E"/>
          <w:sz w:val="21"/>
          <w:szCs w:val="21"/>
        </w:rPr>
        <w:t xml:space="preserve">2.  Purpose of This RFP</w:t>
      </w:r>
      <w:r>
        <w:rPr>
          <w:rFonts w:ascii="Arial" w:cs="Arial" w:eastAsia="Arial" w:hAnsi="Arial"/>
          <w:color w:val="888888"/>
          <w:sz w:val="21"/>
          <w:szCs w:val="21"/>
        </w:rPr>
        <w:t xml:space="preserve">	5</w:t>
      </w:r>
    </w:p>
    <w:p>
      <w:pPr>
        <w:tabs>
          <w:tab w:val="right" w:pos="9000"/>
        </w:tabs>
        <w:spacing w:after="80"/>
      </w:pPr>
      <w:r>
        <w:rPr>
          <w:rFonts w:ascii="Arial" w:cs="Arial" w:eastAsia="Arial" w:hAnsi="Arial"/>
          <w:color w:val="1A1A2E"/>
          <w:sz w:val="21"/>
          <w:szCs w:val="21"/>
        </w:rPr>
        <w:t xml:space="preserve">3.  Scope of Work</w:t>
      </w:r>
      <w:r>
        <w:rPr>
          <w:rFonts w:ascii="Arial" w:cs="Arial" w:eastAsia="Arial" w:hAnsi="Arial"/>
          <w:color w:val="888888"/>
          <w:sz w:val="21"/>
          <w:szCs w:val="21"/>
        </w:rPr>
        <w:t xml:space="preserve">	5</w:t>
      </w:r>
    </w:p>
    <w:p>
      <w:pPr>
        <w:tabs>
          <w:tab w:val="right" w:pos="9000"/>
        </w:tabs>
        <w:spacing w:after="80"/>
      </w:pPr>
      <w:r>
        <w:rPr>
          <w:rFonts w:ascii="Arial" w:cs="Arial" w:eastAsia="Arial" w:hAnsi="Arial"/>
          <w:color w:val="1A1A2E"/>
          <w:sz w:val="21"/>
          <w:szCs w:val="21"/>
        </w:rPr>
        <w:t xml:space="preserve">4.  Attached Reference Documents</w:t>
      </w:r>
      <w:r>
        <w:rPr>
          <w:rFonts w:ascii="Arial" w:cs="Arial" w:eastAsia="Arial" w:hAnsi="Arial"/>
          <w:color w:val="888888"/>
          <w:sz w:val="21"/>
          <w:szCs w:val="21"/>
        </w:rPr>
        <w:t xml:space="preserve">	8</w:t>
      </w:r>
    </w:p>
    <w:p>
      <w:pPr>
        <w:tabs>
          <w:tab w:val="right" w:pos="9000"/>
        </w:tabs>
        <w:spacing w:after="80"/>
      </w:pPr>
      <w:r>
        <w:rPr>
          <w:rFonts w:ascii="Arial" w:cs="Arial" w:eastAsia="Arial" w:hAnsi="Arial"/>
          <w:color w:val="1A1A2E"/>
          <w:sz w:val="21"/>
          <w:szCs w:val="21"/>
        </w:rPr>
        <w:t xml:space="preserve">5.  Technical Requirements Summary</w:t>
      </w:r>
      <w:r>
        <w:rPr>
          <w:rFonts w:ascii="Arial" w:cs="Arial" w:eastAsia="Arial" w:hAnsi="Arial"/>
          <w:color w:val="888888"/>
          <w:sz w:val="21"/>
          <w:szCs w:val="21"/>
        </w:rPr>
        <w:t xml:space="preserve">	8</w:t>
      </w:r>
    </w:p>
    <w:p>
      <w:pPr>
        <w:tabs>
          <w:tab w:val="right" w:pos="9000"/>
        </w:tabs>
        <w:spacing w:after="80"/>
      </w:pPr>
      <w:r>
        <w:rPr>
          <w:rFonts w:ascii="Arial" w:cs="Arial" w:eastAsia="Arial" w:hAnsi="Arial"/>
          <w:color w:val="1A1A2E"/>
          <w:sz w:val="21"/>
          <w:szCs w:val="21"/>
        </w:rPr>
        <w:t xml:space="preserve">6.  Implementation Approach Requirements</w:t>
      </w:r>
      <w:r>
        <w:rPr>
          <w:rFonts w:ascii="Arial" w:cs="Arial" w:eastAsia="Arial" w:hAnsi="Arial"/>
          <w:color w:val="888888"/>
          <w:sz w:val="21"/>
          <w:szCs w:val="21"/>
        </w:rPr>
        <w:t xml:space="preserve">	10</w:t>
      </w:r>
    </w:p>
    <w:p>
      <w:pPr>
        <w:tabs>
          <w:tab w:val="right" w:pos="9000"/>
        </w:tabs>
        <w:spacing w:after="80"/>
      </w:pPr>
      <w:r>
        <w:rPr>
          <w:rFonts w:ascii="Arial" w:cs="Arial" w:eastAsia="Arial" w:hAnsi="Arial"/>
          <w:color w:val="1A1A2E"/>
          <w:sz w:val="21"/>
          <w:szCs w:val="21"/>
        </w:rPr>
        <w:t xml:space="preserve">7.  Vendor Eligibility Requirements</w:t>
      </w:r>
      <w:r>
        <w:rPr>
          <w:rFonts w:ascii="Arial" w:cs="Arial" w:eastAsia="Arial" w:hAnsi="Arial"/>
          <w:color w:val="888888"/>
          <w:sz w:val="21"/>
          <w:szCs w:val="21"/>
        </w:rPr>
        <w:t xml:space="preserve">	11</w:t>
      </w:r>
    </w:p>
    <w:p>
      <w:pPr>
        <w:tabs>
          <w:tab w:val="right" w:pos="9000"/>
        </w:tabs>
        <w:spacing w:after="80"/>
      </w:pPr>
      <w:r>
        <w:rPr>
          <w:rFonts w:ascii="Arial" w:cs="Arial" w:eastAsia="Arial" w:hAnsi="Arial"/>
          <w:color w:val="1A1A2E"/>
          <w:sz w:val="21"/>
          <w:szCs w:val="21"/>
        </w:rPr>
        <w:t xml:space="preserve">8.  Proposal Structure &amp; Required Submissions</w:t>
      </w:r>
      <w:r>
        <w:rPr>
          <w:rFonts w:ascii="Arial" w:cs="Arial" w:eastAsia="Arial" w:hAnsi="Arial"/>
          <w:color w:val="888888"/>
          <w:sz w:val="21"/>
          <w:szCs w:val="21"/>
        </w:rPr>
        <w:t xml:space="preserve">	12</w:t>
      </w:r>
    </w:p>
    <w:p>
      <w:pPr>
        <w:tabs>
          <w:tab w:val="right" w:pos="9000"/>
        </w:tabs>
        <w:spacing w:after="80"/>
      </w:pPr>
      <w:r>
        <w:rPr>
          <w:rFonts w:ascii="Arial" w:cs="Arial" w:eastAsia="Arial" w:hAnsi="Arial"/>
          <w:color w:val="1A1A2E"/>
          <w:sz w:val="21"/>
          <w:szCs w:val="21"/>
        </w:rPr>
        <w:t xml:space="preserve">9.  Evaluation Criteria &amp; Scoring</w:t>
      </w:r>
      <w:r>
        <w:rPr>
          <w:rFonts w:ascii="Arial" w:cs="Arial" w:eastAsia="Arial" w:hAnsi="Arial"/>
          <w:color w:val="888888"/>
          <w:sz w:val="21"/>
          <w:szCs w:val="21"/>
        </w:rPr>
        <w:t xml:space="preserve">	15</w:t>
      </w:r>
    </w:p>
    <w:p>
      <w:pPr>
        <w:tabs>
          <w:tab w:val="right" w:pos="9000"/>
        </w:tabs>
        <w:spacing w:after="80"/>
      </w:pPr>
      <w:r>
        <w:rPr>
          <w:rFonts w:ascii="Arial" w:cs="Arial" w:eastAsia="Arial" w:hAnsi="Arial"/>
          <w:color w:val="1A1A2E"/>
          <w:sz w:val="21"/>
          <w:szCs w:val="21"/>
        </w:rPr>
        <w:t xml:space="preserve">10.  Contractual Requirements</w:t>
      </w:r>
      <w:r>
        <w:rPr>
          <w:rFonts w:ascii="Arial" w:cs="Arial" w:eastAsia="Arial" w:hAnsi="Arial"/>
          <w:color w:val="888888"/>
          <w:sz w:val="21"/>
          <w:szCs w:val="21"/>
        </w:rPr>
        <w:t xml:space="preserve">	17</w:t>
      </w:r>
    </w:p>
    <w:p>
      <w:pPr>
        <w:tabs>
          <w:tab w:val="right" w:pos="9000"/>
        </w:tabs>
        <w:spacing w:after="80"/>
      </w:pPr>
      <w:r>
        <w:rPr>
          <w:rFonts w:ascii="Arial" w:cs="Arial" w:eastAsia="Arial" w:hAnsi="Arial"/>
          <w:color w:val="1A1A2E"/>
          <w:sz w:val="21"/>
          <w:szCs w:val="21"/>
        </w:rPr>
        <w:t xml:space="preserve">11.  Intellectual Property</w:t>
      </w:r>
      <w:r>
        <w:rPr>
          <w:rFonts w:ascii="Arial" w:cs="Arial" w:eastAsia="Arial" w:hAnsi="Arial"/>
          <w:color w:val="888888"/>
          <w:sz w:val="21"/>
          <w:szCs w:val="21"/>
        </w:rPr>
        <w:t xml:space="preserve">	18</w:t>
      </w:r>
    </w:p>
    <w:p>
      <w:pPr>
        <w:tabs>
          <w:tab w:val="right" w:pos="9000"/>
        </w:tabs>
        <w:spacing w:after="80"/>
      </w:pPr>
      <w:r>
        <w:rPr>
          <w:rFonts w:ascii="Arial" w:cs="Arial" w:eastAsia="Arial" w:hAnsi="Arial"/>
          <w:color w:val="1A1A2E"/>
          <w:sz w:val="21"/>
          <w:szCs w:val="21"/>
        </w:rPr>
        <w:t xml:space="preserve">12.  Confidentiality</w:t>
      </w:r>
      <w:r>
        <w:rPr>
          <w:rFonts w:ascii="Arial" w:cs="Arial" w:eastAsia="Arial" w:hAnsi="Arial"/>
          <w:color w:val="888888"/>
          <w:sz w:val="21"/>
          <w:szCs w:val="21"/>
        </w:rPr>
        <w:t xml:space="preserve">	18</w:t>
      </w:r>
    </w:p>
    <w:p>
      <w:pPr>
        <w:tabs>
          <w:tab w:val="right" w:pos="9000"/>
        </w:tabs>
        <w:spacing w:after="80"/>
      </w:pPr>
      <w:r>
        <w:rPr>
          <w:rFonts w:ascii="Arial" w:cs="Arial" w:eastAsia="Arial" w:hAnsi="Arial"/>
          <w:color w:val="1A1A2E"/>
          <w:sz w:val="21"/>
          <w:szCs w:val="21"/>
        </w:rPr>
        <w:t xml:space="preserve">13.  Procurement Timeline</w:t>
      </w:r>
      <w:r>
        <w:rPr>
          <w:rFonts w:ascii="Arial" w:cs="Arial" w:eastAsia="Arial" w:hAnsi="Arial"/>
          <w:color w:val="888888"/>
          <w:sz w:val="21"/>
          <w:szCs w:val="21"/>
        </w:rPr>
        <w:t xml:space="preserve">	19</w:t>
      </w:r>
    </w:p>
    <w:p>
      <w:pPr>
        <w:tabs>
          <w:tab w:val="right" w:pos="9000"/>
        </w:tabs>
        <w:spacing w:after="80"/>
      </w:pPr>
      <w:r>
        <w:rPr>
          <w:rFonts w:ascii="Arial" w:cs="Arial" w:eastAsia="Arial" w:hAnsi="Arial"/>
          <w:color w:val="1A1A2E"/>
          <w:sz w:val="21"/>
          <w:szCs w:val="21"/>
        </w:rPr>
        <w:t xml:space="preserve">14.  Clarification &amp; Amendment Process</w:t>
      </w:r>
      <w:r>
        <w:rPr>
          <w:rFonts w:ascii="Arial" w:cs="Arial" w:eastAsia="Arial" w:hAnsi="Arial"/>
          <w:color w:val="888888"/>
          <w:sz w:val="21"/>
          <w:szCs w:val="21"/>
        </w:rPr>
        <w:t xml:space="preserve">	19</w:t>
      </w:r>
    </w:p>
    <w:p>
      <w:pPr>
        <w:tabs>
          <w:tab w:val="right" w:pos="9000"/>
        </w:tabs>
        <w:spacing w:after="80"/>
      </w:pPr>
      <w:r>
        <w:rPr>
          <w:rFonts w:ascii="Arial" w:cs="Arial" w:eastAsia="Arial" w:hAnsi="Arial"/>
          <w:color w:val="1A1A2E"/>
          <w:sz w:val="21"/>
          <w:szCs w:val="21"/>
        </w:rPr>
        <w:t xml:space="preserve">15.  Submission Instructions</w:t>
      </w:r>
      <w:r>
        <w:rPr>
          <w:rFonts w:ascii="Arial" w:cs="Arial" w:eastAsia="Arial" w:hAnsi="Arial"/>
          <w:color w:val="888888"/>
          <w:sz w:val="21"/>
          <w:szCs w:val="21"/>
        </w:rPr>
        <w:t xml:space="preserve">	20</w:t>
      </w:r>
    </w:p>
    <w:p>
      <w:pPr>
        <w:tabs>
          <w:tab w:val="right" w:pos="9000"/>
        </w:tabs>
        <w:spacing w:after="80"/>
      </w:pPr>
      <w:r>
        <w:rPr>
          <w:rFonts w:ascii="Arial" w:cs="Arial" w:eastAsia="Arial" w:hAnsi="Arial"/>
          <w:color w:val="1A1A2E"/>
          <w:sz w:val="21"/>
          <w:szCs w:val="21"/>
        </w:rPr>
        <w:t xml:space="preserve">16.  Disclaimer &amp; Right to Reject</w:t>
      </w:r>
      <w:r>
        <w:rPr>
          <w:rFonts w:ascii="Arial" w:cs="Arial" w:eastAsia="Arial" w:hAnsi="Arial"/>
          <w:color w:val="888888"/>
          <w:sz w:val="21"/>
          <w:szCs w:val="21"/>
        </w:rPr>
        <w:t xml:space="preserve">	20</w:t>
      </w:r>
    </w:p>
    <w:p>
      <w:pPr>
        <w:tabs>
          <w:tab w:val="right" w:pos="9000"/>
        </w:tabs>
        <w:spacing w:after="80"/>
      </w:pPr>
      <w:r>
        <w:rPr>
          <w:rFonts w:ascii="Arial" w:cs="Arial" w:eastAsia="Arial" w:hAnsi="Arial"/>
          <w:color w:val="1A1A2E"/>
          <w:sz w:val="21"/>
          <w:szCs w:val="21"/>
        </w:rPr>
        <w:t xml:space="preserve">Appendix A.  Glossary of Terms</w:t>
      </w:r>
      <w:r>
        <w:rPr>
          <w:rFonts w:ascii="Arial" w:cs="Arial" w:eastAsia="Arial" w:hAnsi="Arial"/>
          <w:color w:val="888888"/>
          <w:sz w:val="21"/>
          <w:szCs w:val="21"/>
        </w:rPr>
        <w:t xml:space="preserve">	21</w:t>
      </w:r>
    </w:p>
    <w:p>
      <w:pPr>
        <w:tabs>
          <w:tab w:val="right" w:pos="9000"/>
        </w:tabs>
        <w:spacing w:after="80"/>
      </w:pPr>
      <w:r>
        <w:rPr>
          <w:rFonts w:ascii="Arial" w:cs="Arial" w:eastAsia="Arial" w:hAnsi="Arial"/>
          <w:color w:val="1A1A2E"/>
          <w:sz w:val="21"/>
          <w:szCs w:val="21"/>
        </w:rPr>
        <w:t xml:space="preserve">Appendix B.  Proposal Submission Checklist</w:t>
      </w:r>
      <w:r>
        <w:rPr>
          <w:rFonts w:ascii="Arial" w:cs="Arial" w:eastAsia="Arial" w:hAnsi="Arial"/>
          <w:color w:val="888888"/>
          <w:sz w:val="21"/>
          <w:szCs w:val="21"/>
        </w:rPr>
        <w:t xml:space="preserve">	22</w:t>
      </w:r>
    </w:p>
    <w:p>
      <w:pPr>
        <w:tabs>
          <w:tab w:val="right" w:pos="9000"/>
        </w:tabs>
        <w:spacing w:after="80"/>
      </w:pPr>
      <w:r>
        <w:rPr>
          <w:rFonts w:ascii="Arial" w:cs="Arial" w:eastAsia="Arial" w:hAnsi="Arial"/>
          <w:color w:val="1A1A2E"/>
          <w:sz w:val="21"/>
          <w:szCs w:val="21"/>
        </w:rPr>
        <w:t xml:space="preserve">Appendix C.  Vendor Reference Project Template</w:t>
      </w:r>
      <w:r>
        <w:rPr>
          <w:rFonts w:ascii="Arial" w:cs="Arial" w:eastAsia="Arial" w:hAnsi="Arial"/>
          <w:color w:val="888888"/>
          <w:sz w:val="21"/>
          <w:szCs w:val="21"/>
        </w:rPr>
        <w:t xml:space="preserve">	23</w:t>
      </w:r>
    </w:p>
    <w:p>
      <w:pPr>
        <w:tabs>
          <w:tab w:val="right" w:pos="9000"/>
        </w:tabs>
        <w:spacing w:after="80"/>
      </w:pPr>
      <w:r>
        <w:rPr>
          <w:rFonts w:ascii="Arial" w:cs="Arial" w:eastAsia="Arial" w:hAnsi="Arial"/>
          <w:color w:val="1A1A2E"/>
          <w:sz w:val="21"/>
          <w:szCs w:val="21"/>
        </w:rPr>
        <w:t xml:space="preserve">Appendix D.  Pricing Breakdown Template</w:t>
      </w:r>
      <w:r>
        <w:rPr>
          <w:rFonts w:ascii="Arial" w:cs="Arial" w:eastAsia="Arial" w:hAnsi="Arial"/>
          <w:color w:val="888888"/>
          <w:sz w:val="21"/>
          <w:szCs w:val="21"/>
        </w:rPr>
        <w:t xml:space="preserve">	24</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1. Introduction &amp; Background</w:t>
      </w:r>
    </w:p>
    <w:p>
      <w:pPr>
        <w:spacing w:after="160"/>
      </w:pPr>
      <w:r>
        <w:rPr>
          <w:rFonts w:ascii="Arial" w:cs="Arial" w:eastAsia="Arial" w:hAnsi="Arial"/>
          <w:b w:val="false"/>
          <w:bCs w:val="false"/>
          <w:color w:val="1A1A2E"/>
          <w:sz w:val="22"/>
          <w:szCs w:val="22"/>
        </w:rPr>
        <w:t xml:space="preserve">Clean Energy Fund (CEF) is an asset management fund that provides capital financing for the development and deployment of clean energy assets across multiple independently operated portfolio companies (referred to in this document as AssetCos). CEF's current portfolio includes: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AssetCo</w:t>
            </w:r>
          </w:p>
        </w:tc>
        <w:tc>
          <w:tcPr>
            <w:tcW w:type="dxa" w:w="45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Description</w:t>
            </w:r>
          </w:p>
        </w:tc>
        <w:tc>
          <w:tcPr>
            <w:tcW w:type="dxa" w:w="28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Asset Type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GroSolar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Residential and commercial &amp; industrial (C&amp;I) solar installation company. Customers make monthly payments for installed solar systems financed by CEF.</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Solar PV systems</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Electrify Microgrid Limited (EML)</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Develops and operates mini-grid infrastructure in underserved communities. Revenue collected from community grid connections financed by CEF.</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Mini-grid infrastructure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Swap Station Mobility (SSM)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Operates EV bike battery-swap and charging station infrastructure. Riders make recurring remittances for use of the network financed by CEF.</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 bikes and swap stations</w:t>
            </w:r>
          </w:p>
        </w:tc>
      </w:tr>
    </w:tbl>
    <w:p>
      <w:pPr>
        <w:spacing w:after="120"/>
      </w:pPr>
      <w:r>
        <w:t xml:space="preserve"/>
      </w:r>
    </w:p>
    <w:p>
      <w:pPr>
        <w:spacing w:after="160"/>
      </w:pPr>
      <w:r>
        <w:rPr>
          <w:rFonts w:ascii="Arial" w:cs="Arial" w:eastAsia="Arial" w:hAnsi="Arial"/>
          <w:b w:val="false"/>
          <w:bCs w:val="false"/>
          <w:color w:val="1A1A2E"/>
          <w:sz w:val="22"/>
          <w:szCs w:val="22"/>
        </w:rPr>
        <w:t xml:space="preserve">CEF finances the assets deployed by these AssetCos. Once deployed, operational management is retained by each AssetCo independently. CEF currently lacks a unified platform to track the financial performance of its deployed assets, monitor operational health, or enforce standardised data reporting across AssetCos.</w:t>
      </w:r>
    </w:p>
    <w:p>
      <w:pPr>
        <w:spacing w:after="160"/>
      </w:pPr>
      <w:r>
        <w:rPr>
          <w:rFonts w:ascii="Arial" w:cs="Arial" w:eastAsia="Arial" w:hAnsi="Arial"/>
          <w:b w:val="false"/>
          <w:bCs w:val="false"/>
          <w:color w:val="1A1A2E"/>
          <w:sz w:val="22"/>
          <w:szCs w:val="22"/>
        </w:rPr>
        <w:t xml:space="preserve">CEF's Information Technology team manages all technology platforms across the portfolio, operating individual Microsoft 365 tenants for each entity. The IT team has identified the need for a centralised Portfolio Intelligence Platform — CEF-PIP — to provide real-time financial and operational visibility across the entire investment portfolio.</w:t>
      </w:r>
    </w:p>
    <w:p>
      <w:pPr>
        <w:spacing w:after="160"/>
      </w:pPr>
      <w:r>
        <w:rPr>
          <w:rFonts w:ascii="Arial" w:cs="Arial" w:eastAsia="Arial" w:hAnsi="Arial"/>
          <w:b w:val="false"/>
          <w:bCs w:val="false"/>
          <w:color w:val="1A1A2E"/>
          <w:sz w:val="22"/>
          <w:szCs w:val="22"/>
        </w:rPr>
        <w:t xml:space="preserve">CEF is now inviting qualified software development firms to submit proposals for the design, development, testing, deployment, and handover of CEF-PIP in accordance with the specifications set out in this RFP and the attached reference documents.</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2. Purpose of This RFP</w:t>
      </w:r>
    </w:p>
    <w:p>
      <w:pPr>
        <w:spacing w:after="160"/>
      </w:pPr>
      <w:r>
        <w:rPr>
          <w:rFonts w:ascii="Arial" w:cs="Arial" w:eastAsia="Arial" w:hAnsi="Arial"/>
          <w:b w:val="false"/>
          <w:bCs w:val="false"/>
          <w:color w:val="1A1A2E"/>
          <w:sz w:val="22"/>
          <w:szCs w:val="22"/>
        </w:rPr>
        <w:t xml:space="preserve">This Request for Proposal (RFP) invites qualified software development vendors to submit detailed technical and commercial proposals for the development of the CEF Portfolio Intelligence Platform (CEF-PIP).</w:t>
      </w:r>
    </w:p>
    <w:p>
      <w:pPr>
        <w:spacing w:after="160"/>
      </w:pPr>
      <w:r>
        <w:rPr>
          <w:rFonts w:ascii="Arial" w:cs="Arial" w:eastAsia="Arial" w:hAnsi="Arial"/>
          <w:b w:val="false"/>
          <w:bCs w:val="false"/>
          <w:color w:val="1A1A2E"/>
          <w:sz w:val="22"/>
          <w:szCs w:val="22"/>
        </w:rPr>
        <w:t xml:space="preserve">CEF seeks a vendor who can demonstrate:</w:t>
      </w:r>
    </w:p>
    <w:p>
      <w:pPr>
        <w:pStyle w:val="ListParagraph"/>
        <w:numPr>
          <w:ilvl w:val="0"/>
          <w:numId w:val="2"/>
        </w:numPr>
        <w:spacing w:after="80"/>
      </w:pPr>
      <w:r>
        <w:rPr>
          <w:rFonts w:ascii="Arial" w:cs="Arial" w:eastAsia="Arial" w:hAnsi="Arial"/>
          <w:color w:val="1A1A2E"/>
          <w:sz w:val="22"/>
          <w:szCs w:val="22"/>
        </w:rPr>
        <w:t xml:space="preserve">Proven experience building enterprise-grade, API-first web platforms</w:t>
      </w:r>
    </w:p>
    <w:p>
      <w:pPr>
        <w:pStyle w:val="ListParagraph"/>
        <w:numPr>
          <w:ilvl w:val="0"/>
          <w:numId w:val="2"/>
        </w:numPr>
        <w:spacing w:after="80"/>
      </w:pPr>
      <w:r>
        <w:rPr>
          <w:rFonts w:ascii="Arial" w:cs="Arial" w:eastAsia="Arial" w:hAnsi="Arial"/>
          <w:color w:val="1A1A2E"/>
          <w:sz w:val="22"/>
          <w:szCs w:val="22"/>
        </w:rPr>
        <w:t xml:space="preserve">Strong command of the specified technology stack (Node.js/NestJS, Next.js, PostgreSQL, Microsoft Azure)</w:t>
      </w:r>
    </w:p>
    <w:p>
      <w:pPr>
        <w:pStyle w:val="ListParagraph"/>
        <w:numPr>
          <w:ilvl w:val="0"/>
          <w:numId w:val="2"/>
        </w:numPr>
        <w:spacing w:after="80"/>
      </w:pPr>
      <w:r>
        <w:rPr>
          <w:rFonts w:ascii="Arial" w:cs="Arial" w:eastAsia="Arial" w:hAnsi="Arial"/>
          <w:color w:val="1A1A2E"/>
          <w:sz w:val="22"/>
          <w:szCs w:val="22"/>
        </w:rPr>
        <w:t xml:space="preserve">Capability to deliver a complex multi-module platform with event-driven architecture and real-time dashboards</w:t>
      </w:r>
    </w:p>
    <w:p>
      <w:pPr>
        <w:pStyle w:val="ListParagraph"/>
        <w:numPr>
          <w:ilvl w:val="0"/>
          <w:numId w:val="2"/>
        </w:numPr>
        <w:spacing w:after="80"/>
      </w:pPr>
      <w:r>
        <w:rPr>
          <w:rFonts w:ascii="Arial" w:cs="Arial" w:eastAsia="Arial" w:hAnsi="Arial"/>
          <w:color w:val="1A1A2E"/>
          <w:sz w:val="22"/>
          <w:szCs w:val="22"/>
        </w:rPr>
        <w:t xml:space="preserve">Ability to work within CEF's IT governance framework and adhere to the technical standards defined in the attached TRS</w:t>
      </w:r>
    </w:p>
    <w:p>
      <w:pPr>
        <w:pStyle w:val="ListParagraph"/>
        <w:numPr>
          <w:ilvl w:val="0"/>
          <w:numId w:val="2"/>
        </w:numPr>
        <w:spacing w:after="80"/>
      </w:pPr>
      <w:r>
        <w:rPr>
          <w:rFonts w:ascii="Arial" w:cs="Arial" w:eastAsia="Arial" w:hAnsi="Arial"/>
          <w:color w:val="1A1A2E"/>
          <w:sz w:val="22"/>
          <w:szCs w:val="22"/>
        </w:rPr>
        <w:t xml:space="preserve">Long-term reliability as a development and support partner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4F8A" w:sz="1"/>
              <w:left w:val="single" w:color="1B4F8A" w:sz="20"/>
              <w:bottom w:val="single" w:color="1B4F8A" w:sz="1"/>
              <w:right w:val="single" w:color="CCCCCC" w:sz="1"/>
            </w:tcBorders>
            <w:shd w:fill="D6E4F0" w:val="clear"/>
            <w:tcMar>
              <w:top w:type="dxa" w:w="120"/>
              <w:left w:type="dxa" w:w="200"/>
              <w:bottom w:type="dxa" w:w="120"/>
              <w:right w:type="dxa" w:w="200"/>
            </w:tcMar>
          </w:tcPr>
          <w:p>
            <w:pPr>
              <w:spacing w:after="60"/>
            </w:pPr>
            <w:r>
              <w:rPr>
                <w:rFonts w:ascii="Arial" w:cs="Arial" w:eastAsia="Arial" w:hAnsi="Arial"/>
                <w:b/>
                <w:bCs/>
                <w:color w:val="1B4F8A"/>
                <w:sz w:val="20"/>
                <w:szCs w:val="20"/>
              </w:rPr>
              <w:t xml:space="preserve">PREFERRED PARTNER</w:t>
            </w:r>
          </w:p>
          <w:p>
            <w:pPr>
              <w:spacing w:after="0"/>
            </w:pPr>
            <w:r>
              <w:rPr>
                <w:rFonts w:ascii="Arial" w:cs="Arial" w:eastAsia="Arial" w:hAnsi="Arial"/>
                <w:color w:val="1A1A2E"/>
                <w:sz w:val="20"/>
                <w:szCs w:val="20"/>
              </w:rPr>
              <w:t xml:space="preserve">CEF has an existing relationship with Venture Gardens Group, who are encouraged to respond to this RFP. All vendors — including preferred partners — must respond to the full requirements of this document. Vendor relationship alone does not constitute award criteria.</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3. Scope of Work</w:t>
      </w:r>
    </w:p>
    <w:p>
      <w:pPr>
        <w:spacing w:after="160"/>
      </w:pPr>
      <w:r>
        <w:rPr>
          <w:rFonts w:ascii="Arial" w:cs="Arial" w:eastAsia="Arial" w:hAnsi="Arial"/>
          <w:b w:val="false"/>
          <w:bCs w:val="false"/>
          <w:color w:val="1A1A2E"/>
          <w:sz w:val="22"/>
          <w:szCs w:val="22"/>
        </w:rPr>
        <w:t xml:space="preserve">The selected vendor will be responsible for the following work packages. All deliverables must conform to the specifications in the attached Functional Requirements Document (FRD) and Technical Requirements Specification (TRS).</w:t>
      </w:r>
    </w:p>
    <w:p>
      <w:pPr>
        <w:spacing w:after="80"/>
      </w:pPr>
      <w:r>
        <w:t xml:space="preserve"/>
      </w:r>
    </w:p>
    <w:p>
      <w:pPr>
        <w:pStyle w:val="Heading2"/>
        <w:spacing w:after="140" w:before="300"/>
      </w:pPr>
      <w:r>
        <w:rPr>
          <w:rFonts w:ascii="Arial" w:cs="Arial" w:eastAsia="Arial" w:hAnsi="Arial"/>
          <w:b/>
          <w:bCs/>
          <w:color w:val="17657A"/>
          <w:sz w:val="26"/>
          <w:szCs w:val="26"/>
        </w:rPr>
        <w:t xml:space="preserve">3.1  Work Package 1 — Architecture &amp; Design</w:t>
      </w:r>
    </w:p>
    <w:p>
      <w:pPr>
        <w:spacing w:after="160"/>
      </w:pPr>
      <w:r>
        <w:rPr>
          <w:rFonts w:ascii="Arial" w:cs="Arial" w:eastAsia="Arial" w:hAnsi="Arial"/>
          <w:b w:val="false"/>
          <w:bCs w:val="false"/>
          <w:color w:val="1A1A2E"/>
          <w:sz w:val="22"/>
          <w:szCs w:val="22"/>
        </w:rPr>
        <w:t xml:space="preserve">Duration: Weeks 1–4 (concurrent with Work Package 2 setup)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Deliverable</w:t>
            </w:r>
          </w:p>
        </w:tc>
        <w:tc>
          <w:tcPr>
            <w:tcW w:type="dxa" w:w="30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Description</w:t>
            </w:r>
          </w:p>
        </w:tc>
        <w:tc>
          <w:tcPr>
            <w:tcW w:type="dxa" w:w="43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Acceptance Criteria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Detailed Technical Architecture Document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 vendor-authored technical architecture document confirming the implementation approach, any deviations from the TRS (with justification), and the final database schema diagram.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Reviewed and approved by CEF IT lead before development begins.</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API Contract (OpenAPI 3.0 Specification)</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Machine-readable OpenAPI 3.0 YAML file for all CEF-PIP endpoints and the full CEF Integration Standard (CIS) event schema.</w:t>
            </w:r>
          </w:p>
        </w:tc>
        <w:tc>
          <w:tcPr>
            <w:tcW w:type="dxa" w:w="43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Delivered to CEF IT team and to each AssetCo development team. Validated against the FRD Section 8 requirements.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UI/UX Wireframes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High-fidelity wireframes for all three dashboard tiers (Portfolio, AssetCo, Asset Detail) and the Control Action workflow.</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Reviewed and approved by CEF IT lead and at least one AssetCo stakeholder.</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Development Environment Setup</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infrastructure provisioned for dev, staging, and production environments. CI/CD pipeline operational. Repository created and access granted to CEF IT team.</w:t>
            </w:r>
          </w:p>
        </w:tc>
        <w:tc>
          <w:tcPr>
            <w:tcW w:type="dxa" w:w="43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 IT lead can access Azure DevOps and view the pipeline. Staging environment accessible at a test URL.</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3.2  Work Package 2 — Core Platform Build</w:t>
      </w:r>
    </w:p>
    <w:p>
      <w:pPr>
        <w:spacing w:after="160"/>
      </w:pPr>
      <w:r>
        <w:rPr>
          <w:rFonts w:ascii="Arial" w:cs="Arial" w:eastAsia="Arial" w:hAnsi="Arial"/>
          <w:b w:val="false"/>
          <w:bCs w:val="false"/>
          <w:color w:val="1A1A2E"/>
          <w:sz w:val="22"/>
          <w:szCs w:val="22"/>
        </w:rPr>
        <w:t xml:space="preserve">Duration: Weeks 5–12</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Deliverable</w:t>
            </w:r>
          </w:p>
        </w:tc>
        <w:tc>
          <w:tcPr>
            <w:tcW w:type="dxa" w:w="28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Description</w:t>
            </w:r>
          </w:p>
        </w:tc>
        <w:tc>
          <w:tcPr>
            <w:tcW w:type="dxa" w:w="45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Acceptance Criteria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CEF-PIP Backend — Core Modules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NestJS application with all modules specified in TRS Section 5.1: Auth, AssetCo, Asset, Customer, EventIngestion, Cashflow, Payment, Default, Fault, Telemetry, Alert, Compliance, Reconciliation, Control, Reporting, Audit, Admin, Notification.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modules pass unit tests (80% coverage on business logic). Integration tests pass for all API endpoints.</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 Ingestion API</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Operational POST /api/v1/events endpoint accepting all 14 CIS event types with full validation, idempotency, and async processing via Azure Service Bus.</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Load test: 200 concurrent event pushes/second sustained for 10 minutes with zero data loss and p95 response &lt; 500ms.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Reconciliation Engine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Scheduled nightly reconciliation job with manual trigger capability, backfill logic, and compliance monitoring.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Reconciliation job runs successfully in staging against a simulated AssetCo API. Detects and backfills simulated missing events.</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Cashflow Engine</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Financial KPI computation, materialised KPI store, and collection rate calculations at asset, AssetCo, and portfolio levels.</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KPI values computed correctly against a known seed dataset. Manual verification by CEF Finance team against expected values.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Alert Engine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Alert generation, delivery (email + SMS), and lifecycle management for all 13 alert types.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Each alert type triggered in a test environment. Email delivery confirmed within 2 minutes of trigger. SMS delivery confirmed for Critical alerts.</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 Registry</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Full CRUD for asset records driven by CIS events, status machine, sync metadata, and geographic data.</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 registry accurately reflects a simulated onboarding sequence of 100 assets including status transitions.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Audit Log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Immutable audit log covering all action types defined in FR-AUDIT with write-once database enforcement.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Audit entries confirmed for each action type in integration tests. Attempt to DELETE from audit_log via application returns an error.</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Microsoft Entra ID SSO</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Authentication via Entra ID with RBAC enforcement for all 8 roles.</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8 role types can log in successfully. Access control tests confirm each role can only access permitted endpoints.</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3.3  Work Package 3 — AssetCo Integrations</w:t>
      </w:r>
    </w:p>
    <w:p>
      <w:pPr>
        <w:spacing w:after="160"/>
      </w:pPr>
      <w:r>
        <w:rPr>
          <w:rFonts w:ascii="Arial" w:cs="Arial" w:eastAsia="Arial" w:hAnsi="Arial"/>
          <w:b w:val="false"/>
          <w:bCs w:val="false"/>
          <w:color w:val="1A1A2E"/>
          <w:sz w:val="22"/>
          <w:szCs w:val="22"/>
        </w:rPr>
        <w:t xml:space="preserve">Duration: Weeks 13–20 (requires AssetCo development team cooperation)</w:t>
      </w:r>
    </w:p>
    <w:p>
      <w:pPr>
        <w:spacing w:after="60"/>
      </w:pPr>
      <w:r>
        <w:t xml:space="preserve"/>
      </w:r>
    </w:p>
    <w:p>
      <w:pPr>
        <w:spacing w:after="160"/>
      </w:pPr>
      <w:r>
        <w:rPr>
          <w:rFonts w:ascii="Arial" w:cs="Arial" w:eastAsia="Arial" w:hAnsi="Arial"/>
          <w:b w:val="false"/>
          <w:bCs w:val="false"/>
          <w:color w:val="1A1A2E"/>
          <w:sz w:val="22"/>
          <w:szCs w:val="22"/>
        </w:rPr>
        <w:t xml:space="preserve">The vendor will work with the respective AssetCo development teams (coordinated by the CEF IT team) to implement the CIS integrations. The vendor's responsibilities in this work package are:</w:t>
      </w:r>
    </w:p>
    <w:p>
      <w:pPr>
        <w:pStyle w:val="ListParagraph"/>
        <w:numPr>
          <w:ilvl w:val="0"/>
          <w:numId w:val="2"/>
        </w:numPr>
        <w:spacing w:after="80"/>
      </w:pPr>
      <w:r>
        <w:rPr>
          <w:rFonts w:ascii="Arial" w:cs="Arial" w:eastAsia="Arial" w:hAnsi="Arial"/>
          <w:color w:val="1A1A2E"/>
          <w:sz w:val="22"/>
          <w:szCs w:val="22"/>
        </w:rPr>
        <w:t xml:space="preserve">Deliver the CEF Integration Standard (CIS) documentation and OpenAPI spec to each AssetCo development team</w:t>
      </w:r>
    </w:p>
    <w:p>
      <w:pPr>
        <w:pStyle w:val="ListParagraph"/>
        <w:numPr>
          <w:ilvl w:val="0"/>
          <w:numId w:val="2"/>
        </w:numPr>
        <w:spacing w:after="80"/>
      </w:pPr>
      <w:r>
        <w:rPr>
          <w:rFonts w:ascii="Arial" w:cs="Arial" w:eastAsia="Arial" w:hAnsi="Arial"/>
          <w:color w:val="1A1A2E"/>
          <w:sz w:val="22"/>
          <w:szCs w:val="22"/>
        </w:rPr>
        <w:t xml:space="preserve">Provide a developer sandbox environment for AssetCo teams to test their event push integrations</w:t>
      </w:r>
    </w:p>
    <w:p>
      <w:pPr>
        <w:pStyle w:val="ListParagraph"/>
        <w:numPr>
          <w:ilvl w:val="0"/>
          <w:numId w:val="2"/>
        </w:numPr>
        <w:spacing w:after="80"/>
      </w:pPr>
      <w:r>
        <w:rPr>
          <w:rFonts w:ascii="Arial" w:cs="Arial" w:eastAsia="Arial" w:hAnsi="Arial"/>
          <w:color w:val="1A1A2E"/>
          <w:sz w:val="22"/>
          <w:szCs w:val="22"/>
        </w:rPr>
        <w:t xml:space="preserve">Conduct integration testing with each AssetCo platform in staging once the AssetCo team has implemented the CIS publisher</w:t>
      </w:r>
    </w:p>
    <w:p>
      <w:pPr>
        <w:pStyle w:val="ListParagraph"/>
        <w:numPr>
          <w:ilvl w:val="0"/>
          <w:numId w:val="2"/>
        </w:numPr>
        <w:spacing w:after="80"/>
      </w:pPr>
      <w:r>
        <w:rPr>
          <w:rFonts w:ascii="Arial" w:cs="Arial" w:eastAsia="Arial" w:hAnsi="Arial"/>
          <w:color w:val="1A1A2E"/>
          <w:sz w:val="22"/>
          <w:szCs w:val="22"/>
        </w:rPr>
        <w:t xml:space="preserve">Resolve any CEF-PIP-side issues identified during integration testing within the agreed defect SLA</w:t>
      </w:r>
    </w:p>
    <w:p>
      <w:pPr>
        <w:pStyle w:val="ListParagraph"/>
        <w:numPr>
          <w:ilvl w:val="0"/>
          <w:numId w:val="2"/>
        </w:numPr>
        <w:spacing w:after="80"/>
      </w:pPr>
      <w:r>
        <w:rPr>
          <w:rFonts w:ascii="Arial" w:cs="Arial" w:eastAsia="Arial" w:hAnsi="Arial"/>
          <w:color w:val="1A1A2E"/>
          <w:sz w:val="22"/>
          <w:szCs w:val="22"/>
        </w:rPr>
        <w:t xml:space="preserve">Document any AssetCo-side integration gaps and escalate to the CEF IT team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rPr>
          <w:tblHeader/>
        </w:trPr>
        <w:tc>
          <w:tcPr>
            <w:tcW w:type="dxa" w:w="18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Integration</w:t>
            </w:r>
          </w:p>
        </w:tc>
        <w:tc>
          <w:tcPr>
            <w:tcW w:type="dxa" w:w="28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Scope</w:t>
            </w:r>
          </w:p>
        </w:tc>
        <w:tc>
          <w:tcPr>
            <w:tcW w:type="dxa" w:w="47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Acceptance Criteria</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GroSolar Integration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 push integration (all applicable CIS event types) and pull reconciliation endpoints live and tested in staging.</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End-to-end test: GroSolar sends a payment.received event, CEF-PIP dashboards reflect updated cashflow within 5 seconds. Nightly reconciliation runs successfully against GroSolar API.</w:t>
            </w:r>
          </w:p>
        </w:tc>
      </w:tr>
      <w:tr>
        <w:trPr>
          <w:tblHeader w:val="false"/>
        </w:trPr>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EML Integration</w:t>
            </w:r>
          </w:p>
        </w:tc>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 push integration and pull reconciliation endpoints live and tested in staging.</w:t>
            </w:r>
          </w:p>
        </w:tc>
        <w:tc>
          <w:tcPr>
            <w:tcW w:type="dxa" w:w="4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End-to-end test: EML sends asset.fault.detected event, CEF-PIP generates a fault alert and displays the fault on the EML AssetCo Dashboard.</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SSM Integration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 push integration including rider.inactive events, pull reconciliation endpoints, and remote control API integration (disable/enable for TankVolt bikes).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End-to-end test: SSM sends payment.defaulted event, CEF-PIP flags customer as defaulted. Control action test: disable request submitted, approved, and SSM control API called successfully.</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3.4  Work Package 4 — Frontend Dashboards</w:t>
      </w:r>
    </w:p>
    <w:p>
      <w:pPr>
        <w:spacing w:after="160"/>
      </w:pPr>
      <w:r>
        <w:rPr>
          <w:rFonts w:ascii="Arial" w:cs="Arial" w:eastAsia="Arial" w:hAnsi="Arial"/>
          <w:b w:val="false"/>
          <w:bCs w:val="false"/>
          <w:color w:val="1A1A2E"/>
          <w:sz w:val="22"/>
          <w:szCs w:val="22"/>
        </w:rPr>
        <w:t xml:space="preserve">Duration: Weeks 9–20 (parallel with Work Package 2 from Week 9)</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Deliverable</w:t>
            </w:r>
          </w:p>
        </w:tc>
        <w:tc>
          <w:tcPr>
            <w:tcW w:type="dxa" w:w="30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Description</w:t>
            </w:r>
          </w:p>
        </w:tc>
        <w:tc>
          <w:tcPr>
            <w:tcW w:type="dxa" w:w="43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Acceptance Criteria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Portfolio Dashboard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Next.js frontend implementing all FR-DASH requirements: KPI tiles, AssetCo cards, cashflow trend chart, default tracker, alerts panel, data freshness indicators, auto-refresh.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Matches approved wireframes. All panels display correct data from the backend API. Auto-refresh confirmed. Responsive on standard desktop and tablet viewports.</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 Dashboards</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Separate dashboard view per AssetCo implementing all FR-ACO requirements including SSM-specific rider metrics panel.</w:t>
            </w:r>
          </w:p>
        </w:tc>
        <w:tc>
          <w:tcPr>
            <w:tcW w:type="dxa" w:w="43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Each AssetCo dashboard displays correctly with AssetCo-scoped data. RBAC confirmed: AssetCo Admin sees only their own AssetCo.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 Detail View</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Full asset detail view implementing all FR-AST requirements: identity card, financial panel, payment history, fault log, telemetry snapshot, control actions panel (where supported), sync metadata.</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 detail view loads within 1.5 seconds for a fully populated asset. All panels display correctly. Control Actions panel absent for assets with remoteControlSupported=false.</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Admin Panel</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Admin UI implementing all FR-ADMIN requirements: user management, API key management, integration status, event log viewer, reconciliation controls, configuration management.</w:t>
            </w:r>
          </w:p>
        </w:tc>
        <w:tc>
          <w:tcPr>
            <w:tcW w:type="dxa" w:w="43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IT Administrator can perform all required admin functions from the UI without requiring direct database access.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Reporting UI</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Report generation interface with parameter selection (date range, AssetCo, format), job status polling, and file download.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User can generate and download a portfolio financial report in PDF and Excel format within 20 seconds.</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3.5  Work Package 5 — Testing, UAT &amp; Go-Live</w:t>
      </w:r>
    </w:p>
    <w:p>
      <w:pPr>
        <w:spacing w:after="160"/>
      </w:pPr>
      <w:r>
        <w:rPr>
          <w:rFonts w:ascii="Arial" w:cs="Arial" w:eastAsia="Arial" w:hAnsi="Arial"/>
          <w:b w:val="false"/>
          <w:bCs w:val="false"/>
          <w:color w:val="1A1A2E"/>
          <w:sz w:val="22"/>
          <w:szCs w:val="22"/>
        </w:rPr>
        <w:t xml:space="preserve">Duration: Weeks 21–26</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Deliverable</w:t>
            </w:r>
          </w:p>
        </w:tc>
        <w:tc>
          <w:tcPr>
            <w:tcW w:type="dxa" w:w="30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Description</w:t>
            </w:r>
          </w:p>
        </w:tc>
        <w:tc>
          <w:tcPr>
            <w:tcW w:type="dxa" w:w="43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Acceptance Criteria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Performance Test Report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k6 or Artillery load test results demonstrating all NFR-P performance targets met.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NFR-P01 through NFR-P08 targets achieved under the specified load conditions. Report reviewed by CEF IT lead.</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Security Test Report</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OWASP ZAP automated DAST scan results plus an independent penetration test report (conducted by a named third party).</w:t>
            </w:r>
          </w:p>
        </w:tc>
        <w:tc>
          <w:tcPr>
            <w:tcW w:type="dxa" w:w="43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 Critical or High OWASP ZAP findings unresolved. Penetration test report reviewed. All Critical/High pen test findings resolved before go-live.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UAT Support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Vendor supports CEF IT team through UAT against the staging environment. All MUST-priority FRD requirements verified.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UAT sign-off document signed by CEF IT lead confirming all MUST requirements verified. All Critical and High UAT defects resolved.</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Production Deployment</w:t>
            </w:r>
          </w:p>
        </w:tc>
        <w:tc>
          <w:tcPr>
            <w:tcW w:type="dxa" w:w="3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Deployment to Azure production environment following the CI/CD pipeline and runbook.</w:t>
            </w:r>
          </w:p>
        </w:tc>
        <w:tc>
          <w:tcPr>
            <w:tcW w:type="dxa" w:w="43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Production environment live and accessible. Post-deployment smoke tests passing. Azure Monitor dashboards and alerts operational.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Handover Package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Full documentation set, training session, and transfer of all credentials and repository access to CEF.</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documentation deliverables specified in TRS Section 15.2 delivered. Repository access transferred. Training session conducted and recorded.</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4. Attached Reference Documents</w:t>
      </w:r>
    </w:p>
    <w:p>
      <w:pPr>
        <w:spacing w:after="160"/>
      </w:pPr>
      <w:r>
        <w:rPr>
          <w:rFonts w:ascii="Arial" w:cs="Arial" w:eastAsia="Arial" w:hAnsi="Arial"/>
          <w:b w:val="false"/>
          <w:bCs w:val="false"/>
          <w:color w:val="1A1A2E"/>
          <w:sz w:val="22"/>
          <w:szCs w:val="22"/>
        </w:rPr>
        <w:t xml:space="preserve">The following documents are attached to this RFP and form part of the technical specification. Vendors must read all attached documents before submitting a proposal.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rPr>
          <w:tblHeader/>
        </w:trPr>
        <w:tc>
          <w:tcPr>
            <w:tcW w:type="dxa" w:w="20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Document</w:t>
            </w:r>
          </w:p>
        </w:tc>
        <w:tc>
          <w:tcPr>
            <w:tcW w:type="dxa" w:w="8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Version</w:t>
            </w:r>
          </w:p>
        </w:tc>
        <w:tc>
          <w:tcPr>
            <w:tcW w:type="dxa" w:w="65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Purpose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CEF-PIP High-Level Solution Architecture Report</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Provides the architectural philosophy, system model, strategic objectives, and the rationale behind key design decisions. Vendors should read this first for context.</w:t>
            </w:r>
          </w:p>
        </w:tc>
      </w:tr>
      <w:tr>
        <w:trPr>
          <w:tblHeader w:val="false"/>
        </w:trPr>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CEF-PIP Functional Requirements Document (FRD)</w:t>
            </w:r>
          </w:p>
        </w:tc>
        <w:tc>
          <w:tcPr>
            <w:tcW w:type="dxa" w:w="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w:t>
            </w:r>
          </w:p>
        </w:tc>
        <w:tc>
          <w:tcPr>
            <w:tcW w:type="dxa" w:w="6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Defines all functional behaviours the system must implement. Every MUST requirement in this document is mandatory for go-live.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CEF-PIP Technical Requirements Specification (TRS)</w:t>
            </w:r>
          </w:p>
        </w:tc>
        <w:tc>
          <w:tcPr>
            <w:tcW w:type="dxa" w:w="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Defines the technology stack, API specification, database schema, infrastructure architecture, security controls, and non-functional requirements. This is the binding technical specification.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0"/>
              <w:bottom w:val="single" w:color="B8860B" w:sz="1"/>
              <w:right w:val="single" w:color="CCCCCC" w:sz="1"/>
            </w:tcBorders>
            <w:shd w:fill="FFF3CD" w:val="clear"/>
            <w:tcMar>
              <w:top w:type="dxa" w:w="120"/>
              <w:left w:type="dxa" w:w="200"/>
              <w:bottom w:type="dxa" w:w="120"/>
              <w:right w:type="dxa" w:w="200"/>
            </w:tcMar>
          </w:tcPr>
          <w:p>
            <w:pPr>
              <w:spacing w:after="60"/>
            </w:pPr>
            <w:r>
              <w:rPr>
                <w:rFonts w:ascii="Arial" w:cs="Arial" w:eastAsia="Arial" w:hAnsi="Arial"/>
                <w:b/>
                <w:bCs/>
                <w:color w:val="B8860B"/>
                <w:sz w:val="20"/>
                <w:szCs w:val="20"/>
              </w:rPr>
              <w:t xml:space="preserve">IMPORTANT</w:t>
            </w:r>
          </w:p>
          <w:p>
            <w:pPr>
              <w:spacing w:after="0"/>
            </w:pPr>
            <w:r>
              <w:rPr>
                <w:rFonts w:ascii="Arial" w:cs="Arial" w:eastAsia="Arial" w:hAnsi="Arial"/>
                <w:color w:val="1A1A2E"/>
                <w:sz w:val="20"/>
                <w:szCs w:val="20"/>
              </w:rPr>
              <w:t xml:space="preserve">The attached documents are confidential and are provided solely for the purpose of preparing a proposal in response to this RFP. They must not be shared with any third party without written consent from CEF.</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5. Technical Requirements Summary</w:t>
      </w:r>
    </w:p>
    <w:p>
      <w:pPr>
        <w:spacing w:after="160"/>
      </w:pPr>
      <w:r>
        <w:rPr>
          <w:rFonts w:ascii="Arial" w:cs="Arial" w:eastAsia="Arial" w:hAnsi="Arial"/>
          <w:b w:val="false"/>
          <w:bCs w:val="false"/>
          <w:color w:val="1A1A2E"/>
          <w:sz w:val="22"/>
          <w:szCs w:val="22"/>
        </w:rPr>
        <w:t xml:space="preserve">This section summarises the mandatory technical requirements. Full specifications are in the attached TRS. Vendors must confirm compliance with each item in their proposal.</w:t>
      </w:r>
    </w:p>
    <w:p>
      <w:pPr>
        <w:spacing w:after="80"/>
      </w:pPr>
      <w:r>
        <w:t xml:space="preserve"/>
      </w:r>
    </w:p>
    <w:p>
      <w:pPr>
        <w:pStyle w:val="Heading2"/>
        <w:spacing w:after="140" w:before="300"/>
      </w:pPr>
      <w:r>
        <w:rPr>
          <w:rFonts w:ascii="Arial" w:cs="Arial" w:eastAsia="Arial" w:hAnsi="Arial"/>
          <w:b/>
          <w:bCs/>
          <w:color w:val="17657A"/>
          <w:sz w:val="26"/>
          <w:szCs w:val="26"/>
        </w:rPr>
        <w:t xml:space="preserve">5.1  Mandatory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160"/>
      </w:tblGrid>
      <w:tr>
        <w:trPr>
          <w:tblHeader/>
        </w:trPr>
        <w:tc>
          <w:tcPr>
            <w:tcW w:type="dxa" w:w="32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Layer</w:t>
            </w:r>
          </w:p>
        </w:tc>
        <w:tc>
          <w:tcPr>
            <w:tcW w:type="dxa" w:w="40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Required Technology</w:t>
            </w:r>
          </w:p>
        </w:tc>
        <w:tc>
          <w:tcPr>
            <w:tcW w:type="dxa" w:w="21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Compliance Required</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Backend runtime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Node.js LTS (v20.x or v22.x)</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Mandatory</w:t>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Backend framework</w:t>
            </w:r>
          </w:p>
        </w:tc>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NestJS v10.x or later with TypeScript</w:t>
            </w:r>
          </w:p>
        </w:tc>
        <w:tc>
          <w:tcPr>
            <w:tcW w:type="dxa" w:w="2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Mandatory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Frontend framework</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Next.js v14.x or later with TypeScript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Mandatory</w:t>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Primary database</w:t>
            </w:r>
          </w:p>
        </w:tc>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PostgreSQL v15+ on Azure Database for PostgreSQL Flexible Server</w:t>
            </w:r>
          </w:p>
        </w:tc>
        <w:tc>
          <w:tcPr>
            <w:tcW w:type="dxa" w:w="2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Mandatory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Cache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Redis v7.x on Azure Cache for Redis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Mandatory</w:t>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Message queue</w:t>
            </w:r>
          </w:p>
        </w:tc>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Service Bus (Standard tier minimum)</w:t>
            </w:r>
          </w:p>
        </w:tc>
        <w:tc>
          <w:tcPr>
            <w:tcW w:type="dxa" w:w="2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Mandatory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Cloud platform</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Microsoft Azure (all infrastructure)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Mandatory</w:t>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Identity provider</w:t>
            </w:r>
          </w:p>
        </w:tc>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Microsoft Entra ID (Azure AD) for SSO</w:t>
            </w:r>
          </w:p>
        </w:tc>
        <w:tc>
          <w:tcPr>
            <w:tcW w:type="dxa" w:w="2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Mandatory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CI/CD</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DevOps Pipelines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Mandatory</w:t>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Secrets management</w:t>
            </w:r>
          </w:p>
        </w:tc>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Key Vault</w:t>
            </w:r>
          </w:p>
        </w:tc>
        <w:tc>
          <w:tcPr>
            <w:tcW w:type="dxa" w:w="2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Mandatory</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Container orchestration</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Kubernetes Service (AKS)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Mandatory</w:t>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Monitoring</w:t>
            </w:r>
          </w:p>
        </w:tc>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Monitor + Application Insights</w:t>
            </w:r>
          </w:p>
        </w:tc>
        <w:tc>
          <w:tcPr>
            <w:tcW w:type="dxa" w:w="2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Mandatory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00" w:sz="1"/>
              <w:left w:val="single" w:color="CC2200" w:sz="20"/>
              <w:bottom w:val="single" w:color="CC2200" w:sz="1"/>
              <w:right w:val="single" w:color="CCCCCC" w:sz="1"/>
            </w:tcBorders>
            <w:shd w:fill="FDECEA" w:val="clear"/>
            <w:tcMar>
              <w:top w:type="dxa" w:w="120"/>
              <w:left w:type="dxa" w:w="200"/>
              <w:bottom w:type="dxa" w:w="120"/>
              <w:right w:type="dxa" w:w="200"/>
            </w:tcMar>
          </w:tcPr>
          <w:p>
            <w:pPr>
              <w:spacing w:after="60"/>
            </w:pPr>
            <w:r>
              <w:rPr>
                <w:rFonts w:ascii="Arial" w:cs="Arial" w:eastAsia="Arial" w:hAnsi="Arial"/>
                <w:b/>
                <w:bCs/>
                <w:color w:val="CC2200"/>
                <w:sz w:val="20"/>
                <w:szCs w:val="20"/>
              </w:rPr>
              <w:t xml:space="preserve">STACK DEVIATION POLICY</w:t>
            </w:r>
          </w:p>
          <w:p>
            <w:pPr>
              <w:spacing w:after="0"/>
            </w:pPr>
            <w:r>
              <w:rPr>
                <w:rFonts w:ascii="Arial" w:cs="Arial" w:eastAsia="Arial" w:hAnsi="Arial"/>
                <w:color w:val="1A1A2E"/>
                <w:sz w:val="20"/>
                <w:szCs w:val="20"/>
              </w:rPr>
              <w:t xml:space="preserve">Proposals that deviate from the mandatory technology stack will be disqualified unless a formal written deviation request is submitted alongside the proposal with full technical justification. CEF reserves the right to reject any deviation. Deviations that conflict with the existing Microsoft 365 and Azure infrastructure investment will not be accepted.</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5.2  Key Architecture Requirements</w:t>
      </w:r>
    </w:p>
    <w:p>
      <w:pPr>
        <w:pStyle w:val="ListParagraph"/>
        <w:numPr>
          <w:ilvl w:val="0"/>
          <w:numId w:val="2"/>
        </w:numPr>
        <w:spacing w:after="80"/>
      </w:pPr>
      <w:r>
        <w:rPr>
          <w:rFonts w:ascii="Arial" w:cs="Arial" w:eastAsia="Arial" w:hAnsi="Arial"/>
          <w:color w:val="1A1A2E"/>
          <w:sz w:val="22"/>
          <w:szCs w:val="22"/>
        </w:rPr>
        <w:t xml:space="preserve">API-first architecture — all data integration via the CEF Integration Standard (CIS) event and REST API contracts</w:t>
      </w:r>
    </w:p>
    <w:p>
      <w:pPr>
        <w:pStyle w:val="ListParagraph"/>
        <w:numPr>
          <w:ilvl w:val="0"/>
          <w:numId w:val="2"/>
        </w:numPr>
        <w:spacing w:after="80"/>
      </w:pPr>
      <w:r>
        <w:rPr>
          <w:rFonts w:ascii="Arial" w:cs="Arial" w:eastAsia="Arial" w:hAnsi="Arial"/>
          <w:color w:val="1A1A2E"/>
          <w:sz w:val="22"/>
          <w:szCs w:val="22"/>
        </w:rPr>
        <w:t xml:space="preserve">Modular monolith backend (NestJS modules) — not a microservices architecture at initial launch</w:t>
      </w:r>
    </w:p>
    <w:p>
      <w:pPr>
        <w:pStyle w:val="ListParagraph"/>
        <w:numPr>
          <w:ilvl w:val="0"/>
          <w:numId w:val="2"/>
        </w:numPr>
        <w:spacing w:after="80"/>
      </w:pPr>
      <w:r>
        <w:rPr>
          <w:rFonts w:ascii="Arial" w:cs="Arial" w:eastAsia="Arial" w:hAnsi="Arial"/>
          <w:color w:val="1A1A2E"/>
          <w:sz w:val="22"/>
          <w:szCs w:val="22"/>
        </w:rPr>
        <w:t xml:space="preserve">Asynchronous event processing via Azure Service Bus — the Event Ingestion API must return HTTP 202 within 500ms regardless of downstream processing time</w:t>
      </w:r>
    </w:p>
    <w:p>
      <w:pPr>
        <w:pStyle w:val="ListParagraph"/>
        <w:numPr>
          <w:ilvl w:val="0"/>
          <w:numId w:val="2"/>
        </w:numPr>
        <w:spacing w:after="80"/>
      </w:pPr>
      <w:r>
        <w:rPr>
          <w:rFonts w:ascii="Arial" w:cs="Arial" w:eastAsia="Arial" w:hAnsi="Arial"/>
          <w:color w:val="1A1A2E"/>
          <w:sz w:val="22"/>
          <w:szCs w:val="22"/>
        </w:rPr>
        <w:t xml:space="preserve">Push-based primary synchronisation (webhooks/events from AssetCos) with pull-based reconciliation fallback</w:t>
      </w:r>
    </w:p>
    <w:p>
      <w:pPr>
        <w:pStyle w:val="ListParagraph"/>
        <w:numPr>
          <w:ilvl w:val="0"/>
          <w:numId w:val="2"/>
        </w:numPr>
        <w:spacing w:after="80"/>
      </w:pPr>
      <w:r>
        <w:rPr>
          <w:rFonts w:ascii="Arial" w:cs="Arial" w:eastAsia="Arial" w:hAnsi="Arial"/>
          <w:color w:val="1A1A2E"/>
          <w:sz w:val="22"/>
          <w:szCs w:val="22"/>
        </w:rPr>
        <w:t xml:space="preserve">Three-tier dashboard hierarchy: Portfolio → AssetCo → Asset Detail</w:t>
      </w:r>
    </w:p>
    <w:p>
      <w:pPr>
        <w:pStyle w:val="ListParagraph"/>
        <w:numPr>
          <w:ilvl w:val="0"/>
          <w:numId w:val="2"/>
        </w:numPr>
        <w:spacing w:after="80"/>
      </w:pPr>
      <w:r>
        <w:rPr>
          <w:rFonts w:ascii="Arial" w:cs="Arial" w:eastAsia="Arial" w:hAnsi="Arial"/>
          <w:color w:val="1A1A2E"/>
          <w:sz w:val="22"/>
          <w:szCs w:val="22"/>
        </w:rPr>
        <w:t xml:space="preserve">Immutable event log and write-once audit log — no UPDATE or DELETE operations permitted by the application role</w:t>
      </w:r>
    </w:p>
    <w:p>
      <w:pPr>
        <w:pStyle w:val="ListParagraph"/>
        <w:numPr>
          <w:ilvl w:val="0"/>
          <w:numId w:val="2"/>
        </w:numPr>
        <w:spacing w:after="80"/>
      </w:pPr>
      <w:r>
        <w:rPr>
          <w:rFonts w:ascii="Arial" w:cs="Arial" w:eastAsia="Arial" w:hAnsi="Arial"/>
          <w:color w:val="1A1A2E"/>
          <w:sz w:val="22"/>
          <w:szCs w:val="22"/>
        </w:rPr>
        <w:t xml:space="preserve">PII isolation in a separate database schema with Row-Level Security</w:t>
      </w:r>
    </w:p>
    <w:p>
      <w:pPr>
        <w:pStyle w:val="ListParagraph"/>
        <w:numPr>
          <w:ilvl w:val="0"/>
          <w:numId w:val="2"/>
        </w:numPr>
        <w:spacing w:after="80"/>
      </w:pPr>
      <w:r>
        <w:rPr>
          <w:rFonts w:ascii="Arial" w:cs="Arial" w:eastAsia="Arial" w:hAnsi="Arial"/>
          <w:color w:val="1A1A2E"/>
          <w:sz w:val="22"/>
          <w:szCs w:val="22"/>
        </w:rPr>
        <w:t xml:space="preserve">Dual-approval workflow for all remote control actions — the approver must not be the requestor (enforced server-side)</w:t>
      </w:r>
    </w:p>
    <w:p>
      <w:pPr>
        <w:spacing w:after="120"/>
      </w:pPr>
      <w:r>
        <w:t xml:space="preserve"/>
      </w:r>
    </w:p>
    <w:p>
      <w:pPr>
        <w:pStyle w:val="Heading2"/>
        <w:spacing w:after="140" w:before="300"/>
      </w:pPr>
      <w:r>
        <w:rPr>
          <w:rFonts w:ascii="Arial" w:cs="Arial" w:eastAsia="Arial" w:hAnsi="Arial"/>
          <w:b/>
          <w:bCs/>
          <w:color w:val="17657A"/>
          <w:sz w:val="26"/>
          <w:szCs w:val="26"/>
        </w:rPr>
        <w:t xml:space="preserve">5.3  Non-Functional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NFR Category</w:t>
            </w:r>
          </w:p>
        </w:tc>
        <w:tc>
          <w:tcPr>
            <w:tcW w:type="dxa" w:w="59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Key Target</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API Response Time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95th percentile &lt; 500ms under normal load; Event Ingestion API &lt; 500ms always</w:t>
            </w:r>
          </w:p>
        </w:tc>
      </w:tr>
      <w:tr>
        <w:trPr>
          <w:tblHeader w:val="false"/>
        </w:trPr>
        <w:tc>
          <w:tcPr>
            <w:tcW w:type="dxa" w:w="3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Dashboard Load Time</w:t>
            </w:r>
          </w:p>
        </w:tc>
        <w:tc>
          <w:tcPr>
            <w:tcW w:type="dxa" w:w="5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Initial load &lt; 3 seconds; subsequent navigation &lt; 1.5 seconds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Platform Uptime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99.5% monthly SLA excluding planned maintenance</w:t>
            </w:r>
          </w:p>
        </w:tc>
      </w:tr>
      <w:tr>
        <w:trPr>
          <w:tblHeader w:val="false"/>
        </w:trPr>
        <w:tc>
          <w:tcPr>
            <w:tcW w:type="dxa" w:w="3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 Ingestion Availability</w:t>
            </w:r>
          </w:p>
        </w:tc>
        <w:tc>
          <w:tcPr>
            <w:tcW w:type="dxa" w:w="5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99.9% monthly availability</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Recovery Time Objective (RTO)</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4 hours for critical failure recovery</w:t>
            </w:r>
          </w:p>
        </w:tc>
      </w:tr>
      <w:tr>
        <w:trPr>
          <w:tblHeader w:val="false"/>
        </w:trPr>
        <w:tc>
          <w:tcPr>
            <w:tcW w:type="dxa" w:w="3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Recovery Point Objective (RPO)</w:t>
            </w:r>
          </w:p>
        </w:tc>
        <w:tc>
          <w:tcPr>
            <w:tcW w:type="dxa" w:w="5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Maximum 1 hour data loss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Event Throughput</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10,000 events/hour sustained across all AssetCos</w:t>
            </w:r>
          </w:p>
        </w:tc>
      </w:tr>
      <w:tr>
        <w:trPr>
          <w:tblHeader w:val="false"/>
        </w:trPr>
        <w:tc>
          <w:tcPr>
            <w:tcW w:type="dxa" w:w="3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 Volume</w:t>
            </w:r>
          </w:p>
        </w:tc>
        <w:tc>
          <w:tcPr>
            <w:tcW w:type="dxa" w:w="5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Up to 500,000 asset records without architectural changes</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Unit Test Coverage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Minimum 80% on all core business logic modules</w:t>
            </w:r>
          </w:p>
        </w:tc>
      </w:tr>
      <w:tr>
        <w:trPr>
          <w:tblHeader w:val="false"/>
        </w:trPr>
        <w:tc>
          <w:tcPr>
            <w:tcW w:type="dxa" w:w="3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Security</w:t>
            </w:r>
          </w:p>
        </w:tc>
        <w:tc>
          <w:tcPr>
            <w:tcW w:type="dxa" w:w="5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 OWASP Top 10 vulnerabilities; full penetration test before go-live</w:t>
            </w:r>
          </w:p>
        </w:tc>
      </w:tr>
      <w:tr>
        <w:trPr>
          <w:tblHeader w:val="false"/>
        </w:trPr>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Data Retention</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Audit log: 7 years; Payment records: indefinite; Event log: 5 years</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6. Implementation Approach Requirements</w:t>
      </w:r>
    </w:p>
    <w:p>
      <w:pPr>
        <w:spacing w:after="160"/>
      </w:pPr>
      <w:r>
        <w:rPr>
          <w:rFonts w:ascii="Arial" w:cs="Arial" w:eastAsia="Arial" w:hAnsi="Arial"/>
          <w:b w:val="false"/>
          <w:bCs w:val="false"/>
          <w:color w:val="1A1A2E"/>
          <w:sz w:val="22"/>
          <w:szCs w:val="22"/>
        </w:rPr>
        <w:t xml:space="preserve">Vendors must follow the phased delivery approach defined in this section. Proposals must include a detailed project plan confirming adherence to these phases.</w:t>
      </w:r>
    </w:p>
    <w:p>
      <w:pPr>
        <w:spacing w:after="80"/>
      </w:pPr>
      <w:r>
        <w:t xml:space="preserve"/>
      </w:r>
    </w:p>
    <w:p>
      <w:pPr>
        <w:pStyle w:val="Heading2"/>
        <w:spacing w:after="140" w:before="300"/>
      </w:pPr>
      <w:r>
        <w:rPr>
          <w:rFonts w:ascii="Arial" w:cs="Arial" w:eastAsia="Arial" w:hAnsi="Arial"/>
          <w:b/>
          <w:bCs/>
          <w:color w:val="17657A"/>
          <w:sz w:val="26"/>
          <w:szCs w:val="26"/>
        </w:rPr>
        <w:t xml:space="preserve">6.1  Phased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200"/>
        <w:gridCol w:w="3560"/>
      </w:tblGrid>
      <w:tr>
        <w:trPr>
          <w:tblHeader/>
        </w:trPr>
        <w:tc>
          <w:tcPr>
            <w:tcW w:type="dxa" w:w="14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Phase</w:t>
            </w:r>
          </w:p>
        </w:tc>
        <w:tc>
          <w:tcPr>
            <w:tcW w:type="dxa" w:w="32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Work Packages</w:t>
            </w:r>
          </w:p>
        </w:tc>
        <w:tc>
          <w:tcPr>
            <w:tcW w:type="dxa" w:w="12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Duration</w:t>
            </w:r>
          </w:p>
        </w:tc>
        <w:tc>
          <w:tcPr>
            <w:tcW w:type="dxa" w:w="35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Key Milestone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Phase 1 — Foundation</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WP1 (Architecture &amp; Design)</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Weeks 1–4</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Architecture sign-off, API contract delivered to AssetCo teams, dev/staging/prod environments operational</w:t>
            </w:r>
          </w:p>
        </w:tc>
      </w:tr>
      <w:tr>
        <w:trPr>
          <w:tblHeader w:val="false"/>
        </w:trPr>
        <w:tc>
          <w:tcPr>
            <w:tcW w:type="dxa" w:w="1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Phase 2 — Core Build</w:t>
            </w:r>
          </w:p>
        </w:tc>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WP2 (Core Platform Build) + WP4 start (Frontend)</w:t>
            </w:r>
          </w:p>
        </w:tc>
        <w:tc>
          <w:tcPr>
            <w:tcW w:type="dxa" w:w="1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Weeks 5–12</w:t>
            </w:r>
          </w:p>
        </w:tc>
        <w:tc>
          <w:tcPr>
            <w:tcW w:type="dxa" w:w="3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backend modules operational in staging with integration tests passing; frontend wireframes approved</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Phase 3 — Integrations &amp; Frontend</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WP3 (AssetCo Integrations) + WP4 (Frontend Dashboards)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Weeks 13–20</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three AssetCo integrations live in staging; full dashboard suite functional in staging</w:t>
            </w:r>
          </w:p>
        </w:tc>
      </w:tr>
      <w:tr>
        <w:trPr>
          <w:tblHeader w:val="false"/>
        </w:trPr>
        <w:tc>
          <w:tcPr>
            <w:tcW w:type="dxa" w:w="1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Phase 4 — Testing &amp; Go-Live</w:t>
            </w:r>
          </w:p>
        </w:tc>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WP5 (Testing, UAT, Go-Live)</w:t>
            </w:r>
          </w:p>
        </w:tc>
        <w:tc>
          <w:tcPr>
            <w:tcW w:type="dxa" w:w="1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Weeks 21–26</w:t>
            </w:r>
          </w:p>
        </w:tc>
        <w:tc>
          <w:tcPr>
            <w:tcW w:type="dxa" w:w="3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UAT sign-off; performance and security tests passed; production go-live</w:t>
            </w:r>
          </w:p>
        </w:tc>
      </w:tr>
    </w:tbl>
    <w:p>
      <w:pPr>
        <w:spacing w:after="80"/>
      </w:pPr>
      <w:r>
        <w:t xml:space="preserve"/>
      </w:r>
    </w:p>
    <w:p>
      <w:pPr>
        <w:spacing w:after="160"/>
      </w:pPr>
      <w:r>
        <w:rPr>
          <w:rFonts w:ascii="Arial" w:cs="Arial" w:eastAsia="Arial" w:hAnsi="Arial"/>
          <w:b w:val="false"/>
          <w:bCs w:val="false"/>
          <w:color w:val="1A1A2E"/>
          <w:sz w:val="22"/>
          <w:szCs w:val="22"/>
        </w:rPr>
        <w:t xml:space="preserve">Total indicative timeline: 26 weeks from project kick-off. Vendors may propose an alternative timeline with justification, but must confirm a go-live target no later than 32 weeks from kick-off.</w:t>
      </w:r>
    </w:p>
    <w:p>
      <w:pPr>
        <w:spacing w:after="120"/>
      </w:pPr>
      <w:r>
        <w:t xml:space="preserve"/>
      </w:r>
    </w:p>
    <w:p>
      <w:pPr>
        <w:pStyle w:val="Heading2"/>
        <w:spacing w:after="140" w:before="300"/>
      </w:pPr>
      <w:r>
        <w:rPr>
          <w:rFonts w:ascii="Arial" w:cs="Arial" w:eastAsia="Arial" w:hAnsi="Arial"/>
          <w:b/>
          <w:bCs/>
          <w:color w:val="17657A"/>
          <w:sz w:val="26"/>
          <w:szCs w:val="26"/>
        </w:rPr>
        <w:t xml:space="preserve">6.2  Project Governance Requirements</w:t>
      </w:r>
    </w:p>
    <w:p>
      <w:pPr>
        <w:pStyle w:val="ListParagraph"/>
        <w:numPr>
          <w:ilvl w:val="0"/>
          <w:numId w:val="2"/>
        </w:numPr>
        <w:spacing w:after="80"/>
      </w:pPr>
      <w:r>
        <w:rPr>
          <w:rFonts w:ascii="Arial" w:cs="Arial" w:eastAsia="Arial" w:hAnsi="Arial"/>
          <w:color w:val="1A1A2E"/>
          <w:sz w:val="22"/>
          <w:szCs w:val="22"/>
        </w:rPr>
        <w:t xml:space="preserve">The vendor must assign a dedicated Project Manager and a Lead Technical Architect as named contacts for the duration of the project</w:t>
      </w:r>
    </w:p>
    <w:p>
      <w:pPr>
        <w:pStyle w:val="ListParagraph"/>
        <w:numPr>
          <w:ilvl w:val="0"/>
          <w:numId w:val="2"/>
        </w:numPr>
        <w:spacing w:after="80"/>
      </w:pPr>
      <w:r>
        <w:rPr>
          <w:rFonts w:ascii="Arial" w:cs="Arial" w:eastAsia="Arial" w:hAnsi="Arial"/>
          <w:color w:val="1A1A2E"/>
          <w:sz w:val="22"/>
          <w:szCs w:val="22"/>
        </w:rPr>
        <w:t xml:space="preserve">Weekly progress reports must be submitted to the CEF IT lead every Friday covering: completed deliverables, planned deliverables for the following week, risks and issues, blockers requiring CEF input</w:t>
      </w:r>
    </w:p>
    <w:p>
      <w:pPr>
        <w:pStyle w:val="ListParagraph"/>
        <w:numPr>
          <w:ilvl w:val="0"/>
          <w:numId w:val="2"/>
        </w:numPr>
        <w:spacing w:after="80"/>
      </w:pPr>
      <w:r>
        <w:rPr>
          <w:rFonts w:ascii="Arial" w:cs="Arial" w:eastAsia="Arial" w:hAnsi="Arial"/>
          <w:color w:val="1A1A2E"/>
          <w:sz w:val="22"/>
          <w:szCs w:val="22"/>
        </w:rPr>
        <w:t xml:space="preserve">A formal milestone review meeting must be held at the end of each phase with CEF IT team and relevant stakeholders</w:t>
      </w:r>
    </w:p>
    <w:p>
      <w:pPr>
        <w:pStyle w:val="ListParagraph"/>
        <w:numPr>
          <w:ilvl w:val="0"/>
          <w:numId w:val="2"/>
        </w:numPr>
        <w:spacing w:after="80"/>
      </w:pPr>
      <w:r>
        <w:rPr>
          <w:rFonts w:ascii="Arial" w:cs="Arial" w:eastAsia="Arial" w:hAnsi="Arial"/>
          <w:color w:val="1A1A2E"/>
          <w:sz w:val="22"/>
          <w:szCs w:val="22"/>
        </w:rPr>
        <w:t xml:space="preserve">All code must be committed to the agreed repository with PR reviews required for all merges to main/develop branches</w:t>
      </w:r>
    </w:p>
    <w:p>
      <w:pPr>
        <w:pStyle w:val="ListParagraph"/>
        <w:numPr>
          <w:ilvl w:val="0"/>
          <w:numId w:val="2"/>
        </w:numPr>
        <w:spacing w:after="80"/>
      </w:pPr>
      <w:r>
        <w:rPr>
          <w:rFonts w:ascii="Arial" w:cs="Arial" w:eastAsia="Arial" w:hAnsi="Arial"/>
          <w:color w:val="1A1A2E"/>
          <w:sz w:val="22"/>
          <w:szCs w:val="22"/>
        </w:rPr>
        <w:t xml:space="preserve">The CEF IT lead must have read access to the repository throughout the project</w:t>
      </w:r>
    </w:p>
    <w:p>
      <w:pPr>
        <w:pStyle w:val="ListParagraph"/>
        <w:numPr>
          <w:ilvl w:val="0"/>
          <w:numId w:val="2"/>
        </w:numPr>
        <w:spacing w:after="80"/>
      </w:pPr>
      <w:r>
        <w:rPr>
          <w:rFonts w:ascii="Arial" w:cs="Arial" w:eastAsia="Arial" w:hAnsi="Arial"/>
          <w:color w:val="1A1A2E"/>
          <w:sz w:val="22"/>
          <w:szCs w:val="22"/>
        </w:rPr>
        <w:t xml:space="preserve">Sprint retrospectives must be conducted at the end of each two-week sprint</w:t>
      </w:r>
    </w:p>
    <w:p>
      <w:pPr>
        <w:spacing w:after="120"/>
      </w:pPr>
      <w:r>
        <w:t xml:space="preserve"/>
      </w:r>
    </w:p>
    <w:p>
      <w:pPr>
        <w:pStyle w:val="Heading2"/>
        <w:spacing w:after="140" w:before="300"/>
      </w:pPr>
      <w:r>
        <w:rPr>
          <w:rFonts w:ascii="Arial" w:cs="Arial" w:eastAsia="Arial" w:hAnsi="Arial"/>
          <w:b/>
          <w:bCs/>
          <w:color w:val="17657A"/>
          <w:sz w:val="26"/>
          <w:szCs w:val="26"/>
        </w:rPr>
        <w:t xml:space="preserve">6.3  Change Management</w:t>
      </w:r>
    </w:p>
    <w:p>
      <w:pPr>
        <w:pStyle w:val="ListParagraph"/>
        <w:numPr>
          <w:ilvl w:val="0"/>
          <w:numId w:val="2"/>
        </w:numPr>
        <w:spacing w:after="80"/>
      </w:pPr>
      <w:r>
        <w:rPr>
          <w:rFonts w:ascii="Arial" w:cs="Arial" w:eastAsia="Arial" w:hAnsi="Arial"/>
          <w:color w:val="1A1A2E"/>
          <w:sz w:val="22"/>
          <w:szCs w:val="22"/>
        </w:rPr>
        <w:t xml:space="preserve">Any changes to the agreed scope, timeline, or technology stack must be submitted as a formal Change Request to the CEF IT lead</w:t>
      </w:r>
    </w:p>
    <w:p>
      <w:pPr>
        <w:pStyle w:val="ListParagraph"/>
        <w:numPr>
          <w:ilvl w:val="0"/>
          <w:numId w:val="2"/>
        </w:numPr>
        <w:spacing w:after="80"/>
      </w:pPr>
      <w:r>
        <w:rPr>
          <w:rFonts w:ascii="Arial" w:cs="Arial" w:eastAsia="Arial" w:hAnsi="Arial"/>
          <w:color w:val="1A1A2E"/>
          <w:sz w:val="22"/>
          <w:szCs w:val="22"/>
        </w:rPr>
        <w:t xml:space="preserve">Change Requests must include: description of the change, reason, impact on timeline, impact on cost, and recommended resolution</w:t>
      </w:r>
    </w:p>
    <w:p>
      <w:pPr>
        <w:pStyle w:val="ListParagraph"/>
        <w:numPr>
          <w:ilvl w:val="0"/>
          <w:numId w:val="2"/>
        </w:numPr>
        <w:spacing w:after="80"/>
      </w:pPr>
      <w:r>
        <w:rPr>
          <w:rFonts w:ascii="Arial" w:cs="Arial" w:eastAsia="Arial" w:hAnsi="Arial"/>
          <w:color w:val="1A1A2E"/>
          <w:sz w:val="22"/>
          <w:szCs w:val="22"/>
        </w:rPr>
        <w:t xml:space="preserve">No change may be implemented without written approval from the CEF IT lead</w:t>
      </w:r>
    </w:p>
    <w:p>
      <w:pPr>
        <w:pStyle w:val="ListParagraph"/>
        <w:numPr>
          <w:ilvl w:val="0"/>
          <w:numId w:val="2"/>
        </w:numPr>
        <w:spacing w:after="80"/>
      </w:pPr>
      <w:r>
        <w:rPr>
          <w:rFonts w:ascii="Arial" w:cs="Arial" w:eastAsia="Arial" w:hAnsi="Arial"/>
          <w:color w:val="1A1A2E"/>
          <w:sz w:val="22"/>
          <w:szCs w:val="22"/>
        </w:rPr>
        <w:t xml:space="preserve">Emergency hotfixes to production may be deployed following a break-glass procedure documented in the runbook, with a formal post-incident review within 48 hours</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7. Vendor Eligibility Requirements</w:t>
      </w:r>
    </w:p>
    <w:p>
      <w:pPr>
        <w:spacing w:after="160"/>
      </w:pPr>
      <w:r>
        <w:rPr>
          <w:rFonts w:ascii="Arial" w:cs="Arial" w:eastAsia="Arial" w:hAnsi="Arial"/>
          <w:b w:val="false"/>
          <w:bCs w:val="false"/>
          <w:color w:val="1A1A2E"/>
          <w:sz w:val="22"/>
          <w:szCs w:val="22"/>
        </w:rPr>
        <w:t xml:space="preserve">Vendors must meet all of the following eligibility criteria to be considered. Proposals from vendors that do not meet these criteria will not be evaluated.</w:t>
      </w:r>
    </w:p>
    <w:p>
      <w:pPr>
        <w:spacing w:after="80"/>
      </w:pPr>
      <w:r>
        <w:t xml:space="preserve"/>
      </w:r>
    </w:p>
    <w:p>
      <w:pPr>
        <w:pStyle w:val="Heading2"/>
        <w:spacing w:after="140" w:before="300"/>
      </w:pPr>
      <w:r>
        <w:rPr>
          <w:rFonts w:ascii="Arial" w:cs="Arial" w:eastAsia="Arial" w:hAnsi="Arial"/>
          <w:b/>
          <w:bCs/>
          <w:color w:val="17657A"/>
          <w:sz w:val="26"/>
          <w:szCs w:val="26"/>
        </w:rPr>
        <w:t xml:space="preserve">7.1  Mandatory Eligibility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Criterion</w:t>
            </w:r>
          </w:p>
        </w:tc>
        <w:tc>
          <w:tcPr>
            <w:tcW w:type="dxa" w:w="32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Requirement</w:t>
            </w:r>
          </w:p>
        </w:tc>
        <w:tc>
          <w:tcPr>
            <w:tcW w:type="dxa" w:w="37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Evidence Required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Legal entity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Vendor must be a legally registered company</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Certificate of incorporation or equivalent</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Node.js/NestJS experience</w:t>
            </w:r>
          </w:p>
        </w:tc>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Minimum 3 completed production projects using Node.js backend (NestJS preferred)</w:t>
            </w:r>
          </w:p>
        </w:tc>
        <w:tc>
          <w:tcPr>
            <w:tcW w:type="dxa" w:w="3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Project references with client contact details — see Appendix C</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React/Next.js experience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Minimum 2 completed production projects using React or Next.js frontend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Included in project references</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PostgreSQL experience</w:t>
            </w:r>
          </w:p>
        </w:tc>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Minimum 2 completed projects using PostgreSQL as the primary database</w:t>
            </w:r>
          </w:p>
        </w:tc>
        <w:tc>
          <w:tcPr>
            <w:tcW w:type="dxa" w:w="3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Included in project references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Microsoft Azure experience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Active Azure development experience. Azure certification (AZ-204 or equivalent) held by at least one team member preferred.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Team CVs submitted with proposal</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API integration experience</w:t>
            </w:r>
          </w:p>
        </w:tc>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Demonstrated experience designing and implementing REST API integrations between multiple platforms</w:t>
            </w:r>
          </w:p>
        </w:tc>
        <w:tc>
          <w:tcPr>
            <w:tcW w:type="dxa" w:w="3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Described in project references or case studies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Financial or asset management platform experience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At least one project involving financial data management, payment tracking, or asset portfolio management is strongly preferred</w:t>
            </w:r>
          </w:p>
        </w:tc>
        <w:tc>
          <w:tcPr>
            <w:tcW w:type="dxa" w:w="3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Described in project references</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Team size</w:t>
            </w:r>
          </w:p>
        </w:tc>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Sufficient team capacity to deliver the project within the proposed timeline</w:t>
            </w:r>
          </w:p>
        </w:tc>
        <w:tc>
          <w:tcPr>
            <w:tcW w:type="dxa" w:w="3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Team structure and allocation plan submitted with proposal</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7.2  Preferred (Non-Mandatory) Criteria</w:t>
      </w:r>
    </w:p>
    <w:p>
      <w:pPr>
        <w:pStyle w:val="ListParagraph"/>
        <w:numPr>
          <w:ilvl w:val="0"/>
          <w:numId w:val="2"/>
        </w:numPr>
        <w:spacing w:after="80"/>
      </w:pPr>
      <w:r>
        <w:rPr>
          <w:rFonts w:ascii="Arial" w:cs="Arial" w:eastAsia="Arial" w:hAnsi="Arial"/>
          <w:color w:val="1A1A2E"/>
          <w:sz w:val="22"/>
          <w:szCs w:val="22"/>
        </w:rPr>
        <w:t xml:space="preserve">Prior experience with energy sector software (solar, mini-grid, EV, or similar)</w:t>
      </w:r>
    </w:p>
    <w:p>
      <w:pPr>
        <w:pStyle w:val="ListParagraph"/>
        <w:numPr>
          <w:ilvl w:val="0"/>
          <w:numId w:val="2"/>
        </w:numPr>
        <w:spacing w:after="80"/>
      </w:pPr>
      <w:r>
        <w:rPr>
          <w:rFonts w:ascii="Arial" w:cs="Arial" w:eastAsia="Arial" w:hAnsi="Arial"/>
          <w:color w:val="1A1A2E"/>
          <w:sz w:val="22"/>
          <w:szCs w:val="22"/>
        </w:rPr>
        <w:t xml:space="preserve">Experience with event-driven architectures and message queuing systems (Azure Service Bus, RabbitMQ, Kafka)</w:t>
      </w:r>
    </w:p>
    <w:p>
      <w:pPr>
        <w:pStyle w:val="ListParagraph"/>
        <w:numPr>
          <w:ilvl w:val="0"/>
          <w:numId w:val="2"/>
        </w:numPr>
        <w:spacing w:after="80"/>
      </w:pPr>
      <w:r>
        <w:rPr>
          <w:rFonts w:ascii="Arial" w:cs="Arial" w:eastAsia="Arial" w:hAnsi="Arial"/>
          <w:color w:val="1A1A2E"/>
          <w:sz w:val="22"/>
          <w:szCs w:val="22"/>
        </w:rPr>
        <w:t xml:space="preserve">Experience integrating with Microsoft Entra ID (Azure AD) for enterprise SSO</w:t>
      </w:r>
    </w:p>
    <w:p>
      <w:pPr>
        <w:pStyle w:val="ListParagraph"/>
        <w:numPr>
          <w:ilvl w:val="0"/>
          <w:numId w:val="2"/>
        </w:numPr>
        <w:spacing w:after="80"/>
      </w:pPr>
      <w:r>
        <w:rPr>
          <w:rFonts w:ascii="Arial" w:cs="Arial" w:eastAsia="Arial" w:hAnsi="Arial"/>
          <w:color w:val="1A1A2E"/>
          <w:sz w:val="22"/>
          <w:szCs w:val="22"/>
        </w:rPr>
        <w:t xml:space="preserve">Existing relationship with Clean Energy Fund or affiliated entities</w:t>
      </w:r>
    </w:p>
    <w:p>
      <w:pPr>
        <w:pStyle w:val="ListParagraph"/>
        <w:numPr>
          <w:ilvl w:val="0"/>
          <w:numId w:val="2"/>
        </w:numPr>
        <w:spacing w:after="80"/>
      </w:pPr>
      <w:r>
        <w:rPr>
          <w:rFonts w:ascii="Arial" w:cs="Arial" w:eastAsia="Arial" w:hAnsi="Arial"/>
          <w:color w:val="1A1A2E"/>
          <w:sz w:val="22"/>
          <w:szCs w:val="22"/>
        </w:rPr>
        <w:t xml:space="preserve">ISO 27001 certification or equivalent information security management standard</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8. Proposal Structure &amp; Required Submissions</w:t>
      </w:r>
    </w:p>
    <w:p>
      <w:pPr>
        <w:spacing w:after="160"/>
      </w:pPr>
      <w:r>
        <w:rPr>
          <w:rFonts w:ascii="Arial" w:cs="Arial" w:eastAsia="Arial" w:hAnsi="Arial"/>
          <w:b w:val="false"/>
          <w:bCs w:val="false"/>
          <w:color w:val="1A1A2E"/>
          <w:sz w:val="22"/>
          <w:szCs w:val="22"/>
        </w:rPr>
        <w:t xml:space="preserve">All proposals must be submitted as a single PDF document (or a ZIP containing multiple documents clearly named and indexed). Proposals that do not follow this structure may be disqualified. Use the Proposal Submission Checklist in Appendix B to verify completeness before submission.</w:t>
      </w:r>
    </w:p>
    <w:p>
      <w:pPr>
        <w:spacing w:after="80"/>
      </w:pPr>
      <w:r>
        <w:t xml:space="preserve"/>
      </w:r>
    </w:p>
    <w:p>
      <w:pPr>
        <w:pStyle w:val="Heading2"/>
        <w:spacing w:after="140" w:before="300"/>
      </w:pPr>
      <w:r>
        <w:rPr>
          <w:rFonts w:ascii="Arial" w:cs="Arial" w:eastAsia="Arial" w:hAnsi="Arial"/>
          <w:b/>
          <w:bCs/>
          <w:color w:val="17657A"/>
          <w:sz w:val="26"/>
          <w:szCs w:val="26"/>
        </w:rPr>
        <w:t xml:space="preserve">8.1  Section 1 — Executive Summary (Maximum 2 pages)</w:t>
      </w:r>
    </w:p>
    <w:p>
      <w:pPr>
        <w:pStyle w:val="ListParagraph"/>
        <w:numPr>
          <w:ilvl w:val="0"/>
          <w:numId w:val="2"/>
        </w:numPr>
        <w:spacing w:after="80"/>
      </w:pPr>
      <w:r>
        <w:rPr>
          <w:rFonts w:ascii="Arial" w:cs="Arial" w:eastAsia="Arial" w:hAnsi="Arial"/>
          <w:color w:val="1A1A2E"/>
          <w:sz w:val="22"/>
          <w:szCs w:val="22"/>
        </w:rPr>
        <w:t xml:space="preserve">A concise summary of the vendor's understanding of the project</w:t>
      </w:r>
    </w:p>
    <w:p>
      <w:pPr>
        <w:pStyle w:val="ListParagraph"/>
        <w:numPr>
          <w:ilvl w:val="0"/>
          <w:numId w:val="2"/>
        </w:numPr>
        <w:spacing w:after="80"/>
      </w:pPr>
      <w:r>
        <w:rPr>
          <w:rFonts w:ascii="Arial" w:cs="Arial" w:eastAsia="Arial" w:hAnsi="Arial"/>
          <w:color w:val="1A1A2E"/>
          <w:sz w:val="22"/>
          <w:szCs w:val="22"/>
        </w:rPr>
        <w:t xml:space="preserve">The vendor's proposed approach in 3–5 key points</w:t>
      </w:r>
    </w:p>
    <w:p>
      <w:pPr>
        <w:pStyle w:val="ListParagraph"/>
        <w:numPr>
          <w:ilvl w:val="0"/>
          <w:numId w:val="2"/>
        </w:numPr>
        <w:spacing w:after="80"/>
      </w:pPr>
      <w:r>
        <w:rPr>
          <w:rFonts w:ascii="Arial" w:cs="Arial" w:eastAsia="Arial" w:hAnsi="Arial"/>
          <w:color w:val="1A1A2E"/>
          <w:sz w:val="22"/>
          <w:szCs w:val="22"/>
        </w:rPr>
        <w:t xml:space="preserve">Why the vendor is best positioned to deliver this project</w:t>
      </w:r>
    </w:p>
    <w:p>
      <w:pPr>
        <w:pStyle w:val="ListParagraph"/>
        <w:numPr>
          <w:ilvl w:val="0"/>
          <w:numId w:val="2"/>
        </w:numPr>
        <w:spacing w:after="80"/>
      </w:pPr>
      <w:r>
        <w:rPr>
          <w:rFonts w:ascii="Arial" w:cs="Arial" w:eastAsia="Arial" w:hAnsi="Arial"/>
          <w:color w:val="1A1A2E"/>
          <w:sz w:val="22"/>
          <w:szCs w:val="22"/>
        </w:rPr>
        <w:t xml:space="preserve">Proposed total fixed price and timeline at a glance</w:t>
      </w:r>
    </w:p>
    <w:p>
      <w:pPr>
        <w:spacing w:after="80"/>
      </w:pPr>
      <w:r>
        <w:t xml:space="preserve"/>
      </w:r>
    </w:p>
    <w:p>
      <w:pPr>
        <w:pStyle w:val="Heading2"/>
        <w:spacing w:after="140" w:before="300"/>
      </w:pPr>
      <w:r>
        <w:rPr>
          <w:rFonts w:ascii="Arial" w:cs="Arial" w:eastAsia="Arial" w:hAnsi="Arial"/>
          <w:b/>
          <w:bCs/>
          <w:color w:val="17657A"/>
          <w:sz w:val="26"/>
          <w:szCs w:val="26"/>
        </w:rPr>
        <w:t xml:space="preserve">8.2  Section 2 — Company Profile (Maximum 3 pages)</w:t>
      </w:r>
    </w:p>
    <w:p>
      <w:pPr>
        <w:pStyle w:val="ListParagraph"/>
        <w:numPr>
          <w:ilvl w:val="0"/>
          <w:numId w:val="2"/>
        </w:numPr>
        <w:spacing w:after="80"/>
      </w:pPr>
      <w:r>
        <w:rPr>
          <w:rFonts w:ascii="Arial" w:cs="Arial" w:eastAsia="Arial" w:hAnsi="Arial"/>
          <w:color w:val="1A1A2E"/>
          <w:sz w:val="22"/>
          <w:szCs w:val="22"/>
        </w:rPr>
        <w:t xml:space="preserve">Company name, registration details, year of establishment</w:t>
      </w:r>
    </w:p>
    <w:p>
      <w:pPr>
        <w:pStyle w:val="ListParagraph"/>
        <w:numPr>
          <w:ilvl w:val="0"/>
          <w:numId w:val="2"/>
        </w:numPr>
        <w:spacing w:after="80"/>
      </w:pPr>
      <w:r>
        <w:rPr>
          <w:rFonts w:ascii="Arial" w:cs="Arial" w:eastAsia="Arial" w:hAnsi="Arial"/>
          <w:color w:val="1A1A2E"/>
          <w:sz w:val="22"/>
          <w:szCs w:val="22"/>
        </w:rPr>
        <w:t xml:space="preserve">Description of core business and primary service offering</w:t>
      </w:r>
    </w:p>
    <w:p>
      <w:pPr>
        <w:pStyle w:val="ListParagraph"/>
        <w:numPr>
          <w:ilvl w:val="0"/>
          <w:numId w:val="2"/>
        </w:numPr>
        <w:spacing w:after="80"/>
      </w:pPr>
      <w:r>
        <w:rPr>
          <w:rFonts w:ascii="Arial" w:cs="Arial" w:eastAsia="Arial" w:hAnsi="Arial"/>
          <w:color w:val="1A1A2E"/>
          <w:sz w:val="22"/>
          <w:szCs w:val="22"/>
        </w:rPr>
        <w:t xml:space="preserve">Team size and current capacity</w:t>
      </w:r>
    </w:p>
    <w:p>
      <w:pPr>
        <w:pStyle w:val="ListParagraph"/>
        <w:numPr>
          <w:ilvl w:val="0"/>
          <w:numId w:val="2"/>
        </w:numPr>
        <w:spacing w:after="80"/>
      </w:pPr>
      <w:r>
        <w:rPr>
          <w:rFonts w:ascii="Arial" w:cs="Arial" w:eastAsia="Arial" w:hAnsi="Arial"/>
          <w:color w:val="1A1A2E"/>
          <w:sz w:val="22"/>
          <w:szCs w:val="22"/>
        </w:rPr>
        <w:t xml:space="preserve">Relevant certifications (Azure, ISO 27001, etc.)</w:t>
      </w:r>
    </w:p>
    <w:p>
      <w:pPr>
        <w:pStyle w:val="ListParagraph"/>
        <w:numPr>
          <w:ilvl w:val="0"/>
          <w:numId w:val="2"/>
        </w:numPr>
        <w:spacing w:after="80"/>
      </w:pPr>
      <w:r>
        <w:rPr>
          <w:rFonts w:ascii="Arial" w:cs="Arial" w:eastAsia="Arial" w:hAnsi="Arial"/>
          <w:color w:val="1A1A2E"/>
          <w:sz w:val="22"/>
          <w:szCs w:val="22"/>
        </w:rPr>
        <w:t xml:space="preserve">Summary of technology partnerships (Microsoft partner status, etc.)</w:t>
      </w:r>
    </w:p>
    <w:p>
      <w:pPr>
        <w:spacing w:after="80"/>
      </w:pPr>
      <w:r>
        <w:t xml:space="preserve"/>
      </w:r>
    </w:p>
    <w:p>
      <w:pPr>
        <w:pStyle w:val="Heading2"/>
        <w:spacing w:after="140" w:before="300"/>
      </w:pPr>
      <w:r>
        <w:rPr>
          <w:rFonts w:ascii="Arial" w:cs="Arial" w:eastAsia="Arial" w:hAnsi="Arial"/>
          <w:b/>
          <w:bCs/>
          <w:color w:val="17657A"/>
          <w:sz w:val="26"/>
          <w:szCs w:val="26"/>
        </w:rPr>
        <w:t xml:space="preserve">8.3  Section 3 — Technical Approach (Maximum 10 pages)</w:t>
      </w:r>
    </w:p>
    <w:p>
      <w:pPr>
        <w:spacing w:after="160"/>
      </w:pPr>
      <w:r>
        <w:rPr>
          <w:rFonts w:ascii="Arial" w:cs="Arial" w:eastAsia="Arial" w:hAnsi="Arial"/>
          <w:b w:val="false"/>
          <w:bCs w:val="false"/>
          <w:color w:val="1A1A2E"/>
          <w:sz w:val="22"/>
          <w:szCs w:val="22"/>
        </w:rPr>
        <w:t xml:space="preserve">This is the most important section of the proposal. It must demonstrate that the vendor has read and understood the attached FRD and TRS, and has a credible plan to implement CEF-PIP. Evaluators will look for depth of understanding, not surface-level descriptions.</w:t>
      </w:r>
    </w:p>
    <w:p>
      <w:pPr>
        <w:spacing w:after="60"/>
      </w:pPr>
      <w:r>
        <w:t xml:space="preserve"/>
      </w:r>
    </w:p>
    <w:p>
      <w:pPr>
        <w:pStyle w:val="ListParagraph"/>
        <w:numPr>
          <w:ilvl w:val="0"/>
          <w:numId w:val="2"/>
        </w:numPr>
        <w:spacing w:after="80"/>
      </w:pPr>
      <w:r>
        <w:rPr>
          <w:rFonts w:ascii="Arial" w:cs="Arial" w:eastAsia="Arial" w:hAnsi="Arial"/>
          <w:color w:val="1A1A2E"/>
          <w:sz w:val="22"/>
          <w:szCs w:val="22"/>
        </w:rPr>
        <w:t xml:space="preserve">Confirmation of compliance with the mandatory technology stack (TRS Section 4) — list any proposed deviations with justification</w:t>
      </w:r>
    </w:p>
    <w:p>
      <w:pPr>
        <w:pStyle w:val="ListParagraph"/>
        <w:numPr>
          <w:ilvl w:val="0"/>
          <w:numId w:val="2"/>
        </w:numPr>
        <w:spacing w:after="80"/>
      </w:pPr>
      <w:r>
        <w:rPr>
          <w:rFonts w:ascii="Arial" w:cs="Arial" w:eastAsia="Arial" w:hAnsi="Arial"/>
          <w:color w:val="1A1A2E"/>
          <w:sz w:val="22"/>
          <w:szCs w:val="22"/>
        </w:rPr>
        <w:t xml:space="preserve">Proposed application architecture — how NestJS modules will be structured, how the event processing pipeline will be implemented, how the reconciliation engine will work</w:t>
      </w:r>
    </w:p>
    <w:p>
      <w:pPr>
        <w:pStyle w:val="ListParagraph"/>
        <w:numPr>
          <w:ilvl w:val="0"/>
          <w:numId w:val="2"/>
        </w:numPr>
        <w:spacing w:after="80"/>
      </w:pPr>
      <w:r>
        <w:rPr>
          <w:rFonts w:ascii="Arial" w:cs="Arial" w:eastAsia="Arial" w:hAnsi="Arial"/>
          <w:color w:val="1A1A2E"/>
          <w:sz w:val="22"/>
          <w:szCs w:val="22"/>
        </w:rPr>
        <w:t xml:space="preserve">Database design approach — how the vendor will implement the schema requirements including PII isolation, the immutable event log, and the materialised KPI store</w:t>
      </w:r>
    </w:p>
    <w:p>
      <w:pPr>
        <w:pStyle w:val="ListParagraph"/>
        <w:numPr>
          <w:ilvl w:val="0"/>
          <w:numId w:val="2"/>
        </w:numPr>
        <w:spacing w:after="80"/>
      </w:pPr>
      <w:r>
        <w:rPr>
          <w:rFonts w:ascii="Arial" w:cs="Arial" w:eastAsia="Arial" w:hAnsi="Arial"/>
          <w:color w:val="1A1A2E"/>
          <w:sz w:val="22"/>
          <w:szCs w:val="22"/>
        </w:rPr>
        <w:t xml:space="preserve">Event-driven architecture approach — how Azure Service Bus will be configured including dead-letter handling, retry policy, and message ordering</w:t>
      </w:r>
    </w:p>
    <w:p>
      <w:pPr>
        <w:pStyle w:val="ListParagraph"/>
        <w:numPr>
          <w:ilvl w:val="0"/>
          <w:numId w:val="2"/>
        </w:numPr>
        <w:spacing w:after="80"/>
      </w:pPr>
      <w:r>
        <w:rPr>
          <w:rFonts w:ascii="Arial" w:cs="Arial" w:eastAsia="Arial" w:hAnsi="Arial"/>
          <w:color w:val="1A1A2E"/>
          <w:sz w:val="22"/>
          <w:szCs w:val="22"/>
        </w:rPr>
        <w:t xml:space="preserve">Authentication implementation — how Entra ID SSO and RBAC will be implemented using the NestJS Guard pattern</w:t>
      </w:r>
    </w:p>
    <w:p>
      <w:pPr>
        <w:pStyle w:val="ListParagraph"/>
        <w:numPr>
          <w:ilvl w:val="0"/>
          <w:numId w:val="2"/>
        </w:numPr>
        <w:spacing w:after="80"/>
      </w:pPr>
      <w:r>
        <w:rPr>
          <w:rFonts w:ascii="Arial" w:cs="Arial" w:eastAsia="Arial" w:hAnsi="Arial"/>
          <w:color w:val="1A1A2E"/>
          <w:sz w:val="22"/>
          <w:szCs w:val="22"/>
        </w:rPr>
        <w:t xml:space="preserve">AssetCo integration strategy — how the vendor will coordinate with AssetCo development teams to implement the CIS and validate integrations</w:t>
      </w:r>
    </w:p>
    <w:p>
      <w:pPr>
        <w:pStyle w:val="ListParagraph"/>
        <w:numPr>
          <w:ilvl w:val="0"/>
          <w:numId w:val="2"/>
        </w:numPr>
        <w:spacing w:after="80"/>
      </w:pPr>
      <w:r>
        <w:rPr>
          <w:rFonts w:ascii="Arial" w:cs="Arial" w:eastAsia="Arial" w:hAnsi="Arial"/>
          <w:color w:val="1A1A2E"/>
          <w:sz w:val="22"/>
          <w:szCs w:val="22"/>
        </w:rPr>
        <w:t xml:space="preserve">Security approach — how the vendor will address the security requirements in TRS Section 10, including the penetration testing plan</w:t>
      </w:r>
    </w:p>
    <w:p>
      <w:pPr>
        <w:pStyle w:val="ListParagraph"/>
        <w:numPr>
          <w:ilvl w:val="0"/>
          <w:numId w:val="2"/>
        </w:numPr>
        <w:spacing w:after="80"/>
      </w:pPr>
      <w:r>
        <w:rPr>
          <w:rFonts w:ascii="Arial" w:cs="Arial" w:eastAsia="Arial" w:hAnsi="Arial"/>
          <w:color w:val="1A1A2E"/>
          <w:sz w:val="22"/>
          <w:szCs w:val="22"/>
        </w:rPr>
        <w:t xml:space="preserve">Testing strategy — how unit, integration, E2E, performance, and security testing will be structured to meet the TRS Section 14 requirements</w:t>
      </w:r>
    </w:p>
    <w:p>
      <w:pPr>
        <w:pStyle w:val="ListParagraph"/>
        <w:numPr>
          <w:ilvl w:val="0"/>
          <w:numId w:val="2"/>
        </w:numPr>
        <w:spacing w:after="80"/>
      </w:pPr>
      <w:r>
        <w:rPr>
          <w:rFonts w:ascii="Arial" w:cs="Arial" w:eastAsia="Arial" w:hAnsi="Arial"/>
          <w:color w:val="1A1A2E"/>
          <w:sz w:val="22"/>
          <w:szCs w:val="22"/>
        </w:rPr>
        <w:t xml:space="preserve">Performance optimisation approach — how the vendor will achieve the NFR targets (particularly the Event Ingestion 500ms target and dashboard load times)</w:t>
      </w:r>
    </w:p>
    <w:p>
      <w:pPr>
        <w:spacing w:after="80"/>
      </w:pPr>
      <w:r>
        <w:t xml:space="preserve"/>
      </w:r>
    </w:p>
    <w:p>
      <w:pPr>
        <w:pStyle w:val="Heading2"/>
        <w:spacing w:after="140" w:before="300"/>
      </w:pPr>
      <w:r>
        <w:rPr>
          <w:rFonts w:ascii="Arial" w:cs="Arial" w:eastAsia="Arial" w:hAnsi="Arial"/>
          <w:b/>
          <w:bCs/>
          <w:color w:val="17657A"/>
          <w:sz w:val="26"/>
          <w:szCs w:val="26"/>
        </w:rPr>
        <w:t xml:space="preserve">8.4  Section 4 — Project Plan (Maximum 5 pages)</w:t>
      </w:r>
    </w:p>
    <w:p>
      <w:pPr>
        <w:pStyle w:val="ListParagraph"/>
        <w:numPr>
          <w:ilvl w:val="0"/>
          <w:numId w:val="2"/>
        </w:numPr>
        <w:spacing w:after="80"/>
      </w:pPr>
      <w:r>
        <w:rPr>
          <w:rFonts w:ascii="Arial" w:cs="Arial" w:eastAsia="Arial" w:hAnsi="Arial"/>
          <w:color w:val="1A1A2E"/>
          <w:sz w:val="22"/>
          <w:szCs w:val="22"/>
        </w:rPr>
        <w:t xml:space="preserve">Detailed Gantt chart or equivalent covering all 26 weeks across the 5 work packages</w:t>
      </w:r>
    </w:p>
    <w:p>
      <w:pPr>
        <w:pStyle w:val="ListParagraph"/>
        <w:numPr>
          <w:ilvl w:val="0"/>
          <w:numId w:val="2"/>
        </w:numPr>
        <w:spacing w:after="80"/>
      </w:pPr>
      <w:r>
        <w:rPr>
          <w:rFonts w:ascii="Arial" w:cs="Arial" w:eastAsia="Arial" w:hAnsi="Arial"/>
          <w:color w:val="1A1A2E"/>
          <w:sz w:val="22"/>
          <w:szCs w:val="22"/>
        </w:rPr>
        <w:t xml:space="preserve">Named project team: Project Manager, Lead Technical Architect, backend developers, frontend developers, QA, DevOps — with approximate allocation percentages</w:t>
      </w:r>
    </w:p>
    <w:p>
      <w:pPr>
        <w:pStyle w:val="ListParagraph"/>
        <w:numPr>
          <w:ilvl w:val="0"/>
          <w:numId w:val="2"/>
        </w:numPr>
        <w:spacing w:after="80"/>
      </w:pPr>
      <w:r>
        <w:rPr>
          <w:rFonts w:ascii="Arial" w:cs="Arial" w:eastAsia="Arial" w:hAnsi="Arial"/>
          <w:color w:val="1A1A2E"/>
          <w:sz w:val="22"/>
          <w:szCs w:val="22"/>
        </w:rPr>
        <w:t xml:space="preserve">CVs or capability summaries for the Lead Technical Architect and Project Manager (Appendix)</w:t>
      </w:r>
    </w:p>
    <w:p>
      <w:pPr>
        <w:pStyle w:val="ListParagraph"/>
        <w:numPr>
          <w:ilvl w:val="0"/>
          <w:numId w:val="2"/>
        </w:numPr>
        <w:spacing w:after="80"/>
      </w:pPr>
      <w:r>
        <w:rPr>
          <w:rFonts w:ascii="Arial" w:cs="Arial" w:eastAsia="Arial" w:hAnsi="Arial"/>
          <w:color w:val="1A1A2E"/>
          <w:sz w:val="22"/>
          <w:szCs w:val="22"/>
        </w:rPr>
        <w:t xml:space="preserve">Identified risks and proposed mitigations specific to this project</w:t>
      </w:r>
    </w:p>
    <w:p>
      <w:pPr>
        <w:pStyle w:val="ListParagraph"/>
        <w:numPr>
          <w:ilvl w:val="0"/>
          <w:numId w:val="2"/>
        </w:numPr>
        <w:spacing w:after="80"/>
      </w:pPr>
      <w:r>
        <w:rPr>
          <w:rFonts w:ascii="Arial" w:cs="Arial" w:eastAsia="Arial" w:hAnsi="Arial"/>
          <w:color w:val="1A1A2E"/>
          <w:sz w:val="22"/>
          <w:szCs w:val="22"/>
        </w:rPr>
        <w:t xml:space="preserve">Assumptions the vendor has made in preparing the plan</w:t>
      </w:r>
    </w:p>
    <w:p>
      <w:pPr>
        <w:spacing w:after="80"/>
      </w:pPr>
      <w:r>
        <w:t xml:space="preserve"/>
      </w:r>
    </w:p>
    <w:p>
      <w:pPr>
        <w:pStyle w:val="Heading2"/>
        <w:spacing w:after="140" w:before="300"/>
      </w:pPr>
      <w:r>
        <w:rPr>
          <w:rFonts w:ascii="Arial" w:cs="Arial" w:eastAsia="Arial" w:hAnsi="Arial"/>
          <w:b/>
          <w:bCs/>
          <w:color w:val="17657A"/>
          <w:sz w:val="26"/>
          <w:szCs w:val="26"/>
        </w:rPr>
        <w:t xml:space="preserve">8.5  Section 5 — Commercial Proposal (Separate document)</w:t>
      </w:r>
    </w:p>
    <w:p>
      <w:pPr>
        <w:spacing w:after="160"/>
      </w:pPr>
      <w:r>
        <w:rPr>
          <w:rFonts w:ascii="Arial" w:cs="Arial" w:eastAsia="Arial" w:hAnsi="Arial"/>
          <w:b w:val="false"/>
          <w:bCs w:val="false"/>
          <w:color w:val="1A1A2E"/>
          <w:sz w:val="22"/>
          <w:szCs w:val="22"/>
        </w:rPr>
        <w:t xml:space="preserve">The commercial proposal must be submitted as a separate sealed document (or separate PDF) from the technical proposal. It must include:</w:t>
      </w:r>
    </w:p>
    <w:p>
      <w:pPr>
        <w:pStyle w:val="ListParagraph"/>
        <w:numPr>
          <w:ilvl w:val="0"/>
          <w:numId w:val="2"/>
        </w:numPr>
        <w:spacing w:after="80"/>
      </w:pPr>
      <w:r>
        <w:rPr>
          <w:rFonts w:ascii="Arial" w:cs="Arial" w:eastAsia="Arial" w:hAnsi="Arial"/>
          <w:color w:val="1A1A2E"/>
          <w:sz w:val="22"/>
          <w:szCs w:val="22"/>
        </w:rPr>
        <w:t xml:space="preserve">Total fixed price for the full scope of work (Work Packages 1–5)</w:t>
      </w:r>
    </w:p>
    <w:p>
      <w:pPr>
        <w:pStyle w:val="ListParagraph"/>
        <w:numPr>
          <w:ilvl w:val="0"/>
          <w:numId w:val="2"/>
        </w:numPr>
        <w:spacing w:after="80"/>
      </w:pPr>
      <w:r>
        <w:rPr>
          <w:rFonts w:ascii="Arial" w:cs="Arial" w:eastAsia="Arial" w:hAnsi="Arial"/>
          <w:color w:val="1A1A2E"/>
          <w:sz w:val="22"/>
          <w:szCs w:val="22"/>
        </w:rPr>
        <w:t xml:space="preserve">Pricing breakdown using the template in Appendix D — broken down by work package and milestone</w:t>
      </w:r>
    </w:p>
    <w:p>
      <w:pPr>
        <w:pStyle w:val="ListParagraph"/>
        <w:numPr>
          <w:ilvl w:val="0"/>
          <w:numId w:val="2"/>
        </w:numPr>
        <w:spacing w:after="80"/>
      </w:pPr>
      <w:r>
        <w:rPr>
          <w:rFonts w:ascii="Arial" w:cs="Arial" w:eastAsia="Arial" w:hAnsi="Arial"/>
          <w:color w:val="1A1A2E"/>
          <w:sz w:val="22"/>
          <w:szCs w:val="22"/>
        </w:rPr>
        <w:t xml:space="preserve">Payment schedule tied to milestone deliverables (CEF does not make advance payments beyond a reasonable mobilisation fee — not to exceed 15% of total project value)</w:t>
      </w:r>
    </w:p>
    <w:p>
      <w:pPr>
        <w:pStyle w:val="ListParagraph"/>
        <w:numPr>
          <w:ilvl w:val="0"/>
          <w:numId w:val="2"/>
        </w:numPr>
        <w:spacing w:after="80"/>
      </w:pPr>
      <w:r>
        <w:rPr>
          <w:rFonts w:ascii="Arial" w:cs="Arial" w:eastAsia="Arial" w:hAnsi="Arial"/>
          <w:color w:val="1A1A2E"/>
          <w:sz w:val="22"/>
          <w:szCs w:val="22"/>
        </w:rPr>
        <w:t xml:space="preserve">Proposed milestone payment structure — payments tied to accepted deliverables, not calendar dates</w:t>
      </w:r>
    </w:p>
    <w:p>
      <w:pPr>
        <w:pStyle w:val="ListParagraph"/>
        <w:numPr>
          <w:ilvl w:val="0"/>
          <w:numId w:val="2"/>
        </w:numPr>
        <w:spacing w:after="80"/>
      </w:pPr>
      <w:r>
        <w:rPr>
          <w:rFonts w:ascii="Arial" w:cs="Arial" w:eastAsia="Arial" w:hAnsi="Arial"/>
          <w:color w:val="1A1A2E"/>
          <w:sz w:val="22"/>
          <w:szCs w:val="22"/>
        </w:rPr>
        <w:t xml:space="preserve">Day rates for change requests and out-of-scope work</w:t>
      </w:r>
    </w:p>
    <w:p>
      <w:pPr>
        <w:pStyle w:val="ListParagraph"/>
        <w:numPr>
          <w:ilvl w:val="0"/>
          <w:numId w:val="2"/>
        </w:numPr>
        <w:spacing w:after="80"/>
      </w:pPr>
      <w:r>
        <w:rPr>
          <w:rFonts w:ascii="Arial" w:cs="Arial" w:eastAsia="Arial" w:hAnsi="Arial"/>
          <w:color w:val="1A1A2E"/>
          <w:sz w:val="22"/>
          <w:szCs w:val="22"/>
        </w:rPr>
        <w:t xml:space="preserve">Post-go-live support and maintenance pricing options (monthly retainer options for Tier 1, 2, 3 support)</w:t>
      </w:r>
    </w:p>
    <w:p>
      <w:pPr>
        <w:pStyle w:val="ListParagraph"/>
        <w:numPr>
          <w:ilvl w:val="0"/>
          <w:numId w:val="2"/>
        </w:numPr>
        <w:spacing w:after="80"/>
      </w:pPr>
      <w:r>
        <w:rPr>
          <w:rFonts w:ascii="Arial" w:cs="Arial" w:eastAsia="Arial" w:hAnsi="Arial"/>
          <w:color w:val="1A1A2E"/>
          <w:sz w:val="22"/>
          <w:szCs w:val="22"/>
        </w:rPr>
        <w:t xml:space="preserve">Validity period of the commercial proposal (minimum 60 days from submission deadline)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1"/>
              <w:left w:val="single" w:color="B8860B" w:sz="20"/>
              <w:bottom w:val="single" w:color="B8860B" w:sz="1"/>
              <w:right w:val="single" w:color="CCCCCC" w:sz="1"/>
            </w:tcBorders>
            <w:shd w:fill="FFF3CD" w:val="clear"/>
            <w:tcMar>
              <w:top w:type="dxa" w:w="120"/>
              <w:left w:type="dxa" w:w="200"/>
              <w:bottom w:type="dxa" w:w="120"/>
              <w:right w:type="dxa" w:w="200"/>
            </w:tcMar>
          </w:tcPr>
          <w:p>
            <w:pPr>
              <w:spacing w:after="60"/>
            </w:pPr>
            <w:r>
              <w:rPr>
                <w:rFonts w:ascii="Arial" w:cs="Arial" w:eastAsia="Arial" w:hAnsi="Arial"/>
                <w:b/>
                <w:bCs/>
                <w:color w:val="B8860B"/>
                <w:sz w:val="20"/>
                <w:szCs w:val="20"/>
              </w:rPr>
              <w:t xml:space="preserve">PAYMENT POLICY</w:t>
            </w:r>
          </w:p>
          <w:p>
            <w:pPr>
              <w:spacing w:after="0"/>
            </w:pPr>
            <w:r>
              <w:rPr>
                <w:rFonts w:ascii="Arial" w:cs="Arial" w:eastAsia="Arial" w:hAnsi="Arial"/>
                <w:color w:val="1A1A2E"/>
                <w:sz w:val="20"/>
                <w:szCs w:val="20"/>
              </w:rPr>
              <w:t xml:space="preserve">CEF operates a milestone-based payment model. Payments are released upon written acceptance of defined deliverables by the CEF IT lead. No payment will be made for work that has not been formally accepted. The final 10% of the project value is retained until 30 days after production go-live.</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8.6  Section 6 — Reference Projects (Appendix C Template)</w:t>
      </w:r>
    </w:p>
    <w:p>
      <w:pPr>
        <w:spacing w:after="160"/>
      </w:pPr>
      <w:r>
        <w:rPr>
          <w:rFonts w:ascii="Arial" w:cs="Arial" w:eastAsia="Arial" w:hAnsi="Arial"/>
          <w:b w:val="false"/>
          <w:bCs w:val="false"/>
          <w:color w:val="1A1A2E"/>
          <w:sz w:val="22"/>
          <w:szCs w:val="22"/>
        </w:rPr>
        <w:t xml:space="preserve">Vendors must provide a minimum of 3 reference projects using the template in Appendix C. At least 2 of the 3 references must be contactable — CEF reserves the right to contact all named references as part of the evaluation process.</w:t>
      </w:r>
    </w:p>
    <w:p>
      <w:pPr>
        <w:spacing w:after="80"/>
      </w:pPr>
      <w:r>
        <w:t xml:space="preserve"/>
      </w:r>
    </w:p>
    <w:p>
      <w:pPr>
        <w:pStyle w:val="Heading2"/>
        <w:spacing w:after="140" w:before="300"/>
      </w:pPr>
      <w:r>
        <w:rPr>
          <w:rFonts w:ascii="Arial" w:cs="Arial" w:eastAsia="Arial" w:hAnsi="Arial"/>
          <w:b/>
          <w:bCs/>
          <w:color w:val="17657A"/>
          <w:sz w:val="26"/>
          <w:szCs w:val="26"/>
        </w:rPr>
        <w:t xml:space="preserve">8.7  Section 7 — Team CVs (Appendix)</w:t>
      </w:r>
    </w:p>
    <w:p>
      <w:pPr>
        <w:spacing w:after="160"/>
      </w:pPr>
      <w:r>
        <w:rPr>
          <w:rFonts w:ascii="Arial" w:cs="Arial" w:eastAsia="Arial" w:hAnsi="Arial"/>
          <w:b w:val="false"/>
          <w:bCs w:val="false"/>
          <w:color w:val="1A1A2E"/>
          <w:sz w:val="22"/>
          <w:szCs w:val="22"/>
        </w:rPr>
        <w:t xml:space="preserve">CVs or capability summaries for the following named team members must be included as an appendix:</w:t>
      </w:r>
    </w:p>
    <w:p>
      <w:pPr>
        <w:pStyle w:val="ListParagraph"/>
        <w:numPr>
          <w:ilvl w:val="0"/>
          <w:numId w:val="2"/>
        </w:numPr>
        <w:spacing w:after="80"/>
      </w:pPr>
      <w:r>
        <w:rPr>
          <w:rFonts w:ascii="Arial" w:cs="Arial" w:eastAsia="Arial" w:hAnsi="Arial"/>
          <w:color w:val="1A1A2E"/>
          <w:sz w:val="22"/>
          <w:szCs w:val="22"/>
        </w:rPr>
        <w:t xml:space="preserve">Project Manager</w:t>
      </w:r>
    </w:p>
    <w:p>
      <w:pPr>
        <w:pStyle w:val="ListParagraph"/>
        <w:numPr>
          <w:ilvl w:val="0"/>
          <w:numId w:val="2"/>
        </w:numPr>
        <w:spacing w:after="80"/>
      </w:pPr>
      <w:r>
        <w:rPr>
          <w:rFonts w:ascii="Arial" w:cs="Arial" w:eastAsia="Arial" w:hAnsi="Arial"/>
          <w:color w:val="1A1A2E"/>
          <w:sz w:val="22"/>
          <w:szCs w:val="22"/>
        </w:rPr>
        <w:t xml:space="preserve">Lead Technical Architect</w:t>
      </w:r>
    </w:p>
    <w:p>
      <w:pPr>
        <w:pStyle w:val="ListParagraph"/>
        <w:numPr>
          <w:ilvl w:val="0"/>
          <w:numId w:val="2"/>
        </w:numPr>
        <w:spacing w:after="80"/>
      </w:pPr>
      <w:r>
        <w:rPr>
          <w:rFonts w:ascii="Arial" w:cs="Arial" w:eastAsia="Arial" w:hAnsi="Arial"/>
          <w:color w:val="1A1A2E"/>
          <w:sz w:val="22"/>
          <w:szCs w:val="22"/>
        </w:rPr>
        <w:t xml:space="preserve">Lead Backend Developer (NestJS/Node.js)</w:t>
      </w:r>
    </w:p>
    <w:p>
      <w:pPr>
        <w:pStyle w:val="ListParagraph"/>
        <w:numPr>
          <w:ilvl w:val="0"/>
          <w:numId w:val="2"/>
        </w:numPr>
        <w:spacing w:after="80"/>
      </w:pPr>
      <w:r>
        <w:rPr>
          <w:rFonts w:ascii="Arial" w:cs="Arial" w:eastAsia="Arial" w:hAnsi="Arial"/>
          <w:color w:val="1A1A2E"/>
          <w:sz w:val="22"/>
          <w:szCs w:val="22"/>
        </w:rPr>
        <w:t xml:space="preserve">Lead Frontend Developer (Next.js/React)</w:t>
      </w:r>
    </w:p>
    <w:p>
      <w:pPr>
        <w:pStyle w:val="ListParagraph"/>
        <w:numPr>
          <w:ilvl w:val="0"/>
          <w:numId w:val="2"/>
        </w:numPr>
        <w:spacing w:after="80"/>
      </w:pPr>
      <w:r>
        <w:rPr>
          <w:rFonts w:ascii="Arial" w:cs="Arial" w:eastAsia="Arial" w:hAnsi="Arial"/>
          <w:color w:val="1A1A2E"/>
          <w:sz w:val="22"/>
          <w:szCs w:val="22"/>
        </w:rPr>
        <w:t xml:space="preserve">Lead DevOps / Infrastructure Engineer (Azure/AKS)</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9. Evaluation Criteria &amp; Scoring</w:t>
      </w:r>
    </w:p>
    <w:p>
      <w:pPr>
        <w:spacing w:after="160"/>
      </w:pPr>
      <w:r>
        <w:rPr>
          <w:rFonts w:ascii="Arial" w:cs="Arial" w:eastAsia="Arial" w:hAnsi="Arial"/>
          <w:b w:val="false"/>
          <w:bCs w:val="false"/>
          <w:color w:val="1A1A2E"/>
          <w:sz w:val="22"/>
          <w:szCs w:val="22"/>
        </w:rPr>
        <w:t xml:space="preserve">Proposals will be evaluated by a panel consisting of the CEF IT lead, a representative from CEF management, and (where applicable) a technical advisor. Technical and commercial proposals are evaluated separately. A vendor's commercial proposal will only be opened if their technical proposal meets the minimum technical score threshold.</w:t>
      </w:r>
    </w:p>
    <w:p>
      <w:pPr>
        <w:spacing w:after="80"/>
      </w:pPr>
      <w:r>
        <w:t xml:space="preserve"/>
      </w:r>
    </w:p>
    <w:p>
      <w:pPr>
        <w:pStyle w:val="Heading2"/>
        <w:spacing w:after="140" w:before="300"/>
      </w:pPr>
      <w:r>
        <w:rPr>
          <w:rFonts w:ascii="Arial" w:cs="Arial" w:eastAsia="Arial" w:hAnsi="Arial"/>
          <w:b/>
          <w:bCs/>
          <w:color w:val="17657A"/>
          <w:sz w:val="26"/>
          <w:szCs w:val="26"/>
        </w:rPr>
        <w:t xml:space="preserve">9.1  Technical Evaluation (70% of total score)</w:t>
      </w:r>
    </w:p>
    <w:p>
      <w:pPr>
        <w:spacing w:after="160"/>
      </w:pPr>
      <w:r>
        <w:rPr>
          <w:rFonts w:ascii="Arial" w:cs="Arial" w:eastAsia="Arial" w:hAnsi="Arial"/>
          <w:b w:val="false"/>
          <w:bCs w:val="false"/>
          <w:color w:val="1A1A2E"/>
          <w:sz w:val="22"/>
          <w:szCs w:val="22"/>
        </w:rPr>
        <w:t xml:space="preserve">Minimum passing score: 60 out of 100 on the technical evaluation. Proposals scoring below 60 will not proceed to commercial evaluation.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Evaluation Criterion</w:t>
            </w:r>
          </w:p>
        </w:tc>
        <w:tc>
          <w:tcPr>
            <w:tcW w:type="dxa" w:w="12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Max Score</w:t>
            </w:r>
          </w:p>
        </w:tc>
        <w:tc>
          <w:tcPr>
            <w:tcW w:type="dxa" w:w="45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Scoring Guidance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 Understanding of Requirements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Score 13–15: Demonstrates deep, accurate understanding of both FRD and TRS. Proposal shows the vendor has read the documents thoroughly and identified nuances. Score 8–12: Good understanding with minor gaps. Score below 8: Surface-level or generic response.</w:t>
            </w:r>
          </w:p>
        </w:tc>
      </w:tr>
      <w:tr>
        <w:trPr>
          <w:tblHeader w:val="false"/>
        </w:trPr>
        <w:tc>
          <w:tcPr>
            <w:tcW w:type="dxa" w:w="3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 Technical Approach — Architecture</w:t>
            </w:r>
          </w:p>
        </w:tc>
        <w:tc>
          <w:tcPr>
            <w:tcW w:type="dxa" w:w="1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20</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Score 17–20: Credible, detailed architecture plan that correctly implements the NestJS module structure, event processing pipeline, async architecture, and database schema requirements from the TRS. Score 10–16: Mostly correct with some gaps. Score below 10: Significant gaps or misunderstandings.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3. Technical Approach — Security &amp; Compliance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Score 8–10: Addresses all security requirements in TRS Section 10. Includes a credible penetration testing plan with a named third-party tester. Score 5–7: Addresses most requirements. Score below 5: Generic or incomplete.</w:t>
            </w:r>
          </w:p>
        </w:tc>
      </w:tr>
      <w:tr>
        <w:trPr>
          <w:tblHeader w:val="false"/>
        </w:trPr>
        <w:tc>
          <w:tcPr>
            <w:tcW w:type="dxa" w:w="3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4. Testing Strategy</w:t>
            </w:r>
          </w:p>
        </w:tc>
        <w:tc>
          <w:tcPr>
            <w:tcW w:type="dxa" w:w="1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Score 8–10: Detailed testing strategy covering all test levels in TRS Section 14 with specific tools, coverage targets, and UAT support plan. Score 5–7: Adequate. Score below 5: Insufficient.</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5. Project Plan &amp; Timeline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Score 13–15: Detailed, credible project plan with realistic timeline, named team members, adequate resourcing, and specific risk mitigations. Score 8–12: Adequate plan with minor gaps. Score below 8: Vague or unrealistic.</w:t>
            </w:r>
          </w:p>
        </w:tc>
      </w:tr>
      <w:tr>
        <w:trPr>
          <w:tblHeader w:val="false"/>
        </w:trPr>
        <w:tc>
          <w:tcPr>
            <w:tcW w:type="dxa" w:w="3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6. Relevant Experience</w:t>
            </w:r>
          </w:p>
        </w:tc>
        <w:tc>
          <w:tcPr>
            <w:tcW w:type="dxa" w:w="1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Score 8–10: 3+ strong references with direct relevance to financial/asset management platforms and the required technology stack. Score 5–7: 2–3 references with partial relevance. Score below 5: Weak or irrelevant references.</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7. Team Capability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Score 8–10: Named team with demonstrable expertise in all required technologies (NestJS, Next.js, PostgreSQL, Azure). CVs confirm relevant production experience. Score 5–7: Adequate team. Score below 5: Gaps in team expertise.</w:t>
            </w:r>
          </w:p>
        </w:tc>
      </w:tr>
      <w:tr>
        <w:trPr>
          <w:tblHeader w:val="false"/>
        </w:trPr>
        <w:tc>
          <w:tcPr>
            <w:tcW w:type="dxa" w:w="3600"/>
            <w:tcBorders>
              <w:top w:val="single" w:color="17657A" w:sz="1"/>
              <w:left w:val="single" w:color="17657A" w:sz="1"/>
              <w:bottom w:val="single" w:color="17657A" w:sz="1"/>
              <w:right w:val="single" w:color="17657A" w:sz="1"/>
            </w:tcBorders>
            <w:shd w:fill="D6E4F0" w:val="clear"/>
            <w:tcMar>
              <w:top w:type="dxa" w:w="100"/>
              <w:left w:type="dxa" w:w="160"/>
              <w:bottom w:type="dxa" w:w="100"/>
              <w:right w:type="dxa" w:w="160"/>
            </w:tcMar>
            <w:vAlign w:val="top"/>
          </w:tcPr>
          <w:p>
            <w:r>
              <w:rPr>
                <w:rFonts w:ascii="Arial" w:cs="Arial" w:eastAsia="Arial" w:hAnsi="Arial"/>
                <w:b/>
                <w:bCs/>
                <w:color w:val="1B4F8A"/>
                <w:sz w:val="20"/>
                <w:szCs w:val="20"/>
              </w:rPr>
              <w:t xml:space="preserve">TOTAL TECHNICAL</w:t>
            </w:r>
          </w:p>
        </w:tc>
        <w:tc>
          <w:tcPr>
            <w:tcW w:type="dxa" w:w="1200"/>
            <w:tcBorders>
              <w:top w:val="single" w:color="17657A" w:sz="1"/>
              <w:left w:val="single" w:color="17657A" w:sz="1"/>
              <w:bottom w:val="single" w:color="17657A" w:sz="1"/>
              <w:right w:val="single" w:color="17657A" w:sz="1"/>
            </w:tcBorders>
            <w:shd w:fill="D6E4F0" w:val="clear"/>
            <w:tcMar>
              <w:top w:type="dxa" w:w="100"/>
              <w:left w:type="dxa" w:w="160"/>
              <w:bottom w:type="dxa" w:w="100"/>
              <w:right w:type="dxa" w:w="160"/>
            </w:tcMar>
            <w:vAlign w:val="top"/>
          </w:tcPr>
          <w:p>
            <w:r>
              <w:rPr>
                <w:rFonts w:ascii="Arial" w:cs="Arial" w:eastAsia="Arial" w:hAnsi="Arial"/>
                <w:b/>
                <w:bCs/>
                <w:color w:val="1B4F8A"/>
                <w:sz w:val="20"/>
                <w:szCs w:val="20"/>
              </w:rPr>
              <w:t xml:space="preserve">100</w:t>
            </w:r>
          </w:p>
        </w:tc>
        <w:tc>
          <w:tcPr>
            <w:tcW w:type="dxa" w:w="4560"/>
            <w:tcBorders>
              <w:top w:val="single" w:color="17657A" w:sz="1"/>
              <w:left w:val="single" w:color="17657A" w:sz="1"/>
              <w:bottom w:val="single" w:color="17657A" w:sz="1"/>
              <w:right w:val="single" w:color="17657A" w:sz="1"/>
            </w:tcBorders>
            <w:shd w:fill="D6E4F0" w:val="clear"/>
            <w:tcMar>
              <w:top w:type="dxa" w:w="100"/>
              <w:left w:type="dxa" w:w="160"/>
              <w:bottom w:type="dxa" w:w="100"/>
              <w:right w:type="dxa" w:w="160"/>
            </w:tcMar>
            <w:vAlign w:val="top"/>
          </w:tcPr>
          <w:p>
            <w:r>
              <w:rPr>
                <w:rFonts w:ascii="Arial" w:cs="Arial" w:eastAsia="Arial" w:hAnsi="Arial"/>
                <w:b/>
                <w:bCs/>
                <w:color w:val="1B4F8A"/>
                <w:sz w:val="20"/>
                <w:szCs w:val="20"/>
              </w:rPr>
              <w:t xml:space="preserve">Minimum 60 required to proceed to commercial evaluation</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9.2  Commercial Evaluation (30% of total score)</w:t>
      </w:r>
    </w:p>
    <w:p>
      <w:pPr>
        <w:spacing w:after="160"/>
      </w:pPr>
      <w:r>
        <w:rPr>
          <w:rFonts w:ascii="Arial" w:cs="Arial" w:eastAsia="Arial" w:hAnsi="Arial"/>
          <w:b w:val="false"/>
          <w:bCs w:val="false"/>
          <w:color w:val="1A1A2E"/>
          <w:sz w:val="22"/>
          <w:szCs w:val="22"/>
        </w:rPr>
        <w:t xml:space="preserve">Commercial evaluation is conducted only for proposals that achieve the minimum technical score of 60.</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200"/>
        <w:gridCol w:w="4560"/>
      </w:tblGrid>
      <w:tr>
        <w:trPr>
          <w:tblHeader/>
        </w:trPr>
        <w:tc>
          <w:tcPr>
            <w:tcW w:type="dxa" w:w="36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Evaluation Criterion</w:t>
            </w:r>
          </w:p>
        </w:tc>
        <w:tc>
          <w:tcPr>
            <w:tcW w:type="dxa" w:w="12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Max Score</w:t>
            </w:r>
          </w:p>
        </w:tc>
        <w:tc>
          <w:tcPr>
            <w:tcW w:type="dxa" w:w="45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Scoring Guidance</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 Total Price &amp; Value for Money</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Price assessed relative to scope. The lowest price does not automatically score highest — value for money considers price relative to technical quality and delivery confidence.</w:t>
            </w:r>
          </w:p>
        </w:tc>
      </w:tr>
      <w:tr>
        <w:trPr>
          <w:tblHeader w:val="false"/>
        </w:trPr>
        <w:tc>
          <w:tcPr>
            <w:tcW w:type="dxa" w:w="3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 Payment Structure</w:t>
            </w:r>
          </w:p>
        </w:tc>
        <w:tc>
          <w:tcPr>
            <w:tcW w:type="dxa" w:w="1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5</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Milestone-based payment structures aligned to deliverable acceptance are preferred. Front-loaded payment structures are penalised.</w:t>
            </w:r>
          </w:p>
        </w:tc>
      </w:tr>
      <w:tr>
        <w:trPr>
          <w:tblHeader w:val="false"/>
        </w:trPr>
        <w:tc>
          <w:tcPr>
            <w:tcW w:type="dxa" w:w="3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3. Post-Go-Live Support Options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Vendors offering clearly defined, competitively priced support tiers score higher. Support scope must cover: critical bug fixes, security patch application, Azure infrastructure monitoring.</w:t>
            </w:r>
          </w:p>
        </w:tc>
      </w:tr>
      <w:tr>
        <w:trPr>
          <w:tblHeader w:val="false"/>
        </w:trPr>
        <w:tc>
          <w:tcPr>
            <w:tcW w:type="dxa" w:w="3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4. Commercial Risk</w:t>
            </w:r>
          </w:p>
        </w:tc>
        <w:tc>
          <w:tcPr>
            <w:tcW w:type="dxa" w:w="1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5</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Assessed on: fixed-price commitment, clarity of what is in/out of scope, change request day rates reasonableness, and contract terms flexibility.</w:t>
            </w:r>
          </w:p>
        </w:tc>
      </w:tr>
      <w:tr>
        <w:trPr>
          <w:tblHeader w:val="false"/>
        </w:trPr>
        <w:tc>
          <w:tcPr>
            <w:tcW w:type="dxa" w:w="3600"/>
            <w:tcBorders>
              <w:top w:val="single" w:color="17657A" w:sz="1"/>
              <w:left w:val="single" w:color="17657A" w:sz="1"/>
              <w:bottom w:val="single" w:color="17657A" w:sz="1"/>
              <w:right w:val="single" w:color="17657A" w:sz="1"/>
            </w:tcBorders>
            <w:shd w:fill="D6E4F0" w:val="clear"/>
            <w:tcMar>
              <w:top w:type="dxa" w:w="100"/>
              <w:left w:type="dxa" w:w="160"/>
              <w:bottom w:type="dxa" w:w="100"/>
              <w:right w:type="dxa" w:w="160"/>
            </w:tcMar>
            <w:vAlign w:val="top"/>
          </w:tcPr>
          <w:p>
            <w:r>
              <w:rPr>
                <w:rFonts w:ascii="Arial" w:cs="Arial" w:eastAsia="Arial" w:hAnsi="Arial"/>
                <w:b/>
                <w:bCs/>
                <w:color w:val="1B4F8A"/>
                <w:sz w:val="20"/>
                <w:szCs w:val="20"/>
              </w:rPr>
              <w:t xml:space="preserve">TOTAL COMMERCIAL</w:t>
            </w:r>
          </w:p>
        </w:tc>
        <w:tc>
          <w:tcPr>
            <w:tcW w:type="dxa" w:w="1200"/>
            <w:tcBorders>
              <w:top w:val="single" w:color="17657A" w:sz="1"/>
              <w:left w:val="single" w:color="17657A" w:sz="1"/>
              <w:bottom w:val="single" w:color="17657A" w:sz="1"/>
              <w:right w:val="single" w:color="17657A" w:sz="1"/>
            </w:tcBorders>
            <w:shd w:fill="D6E4F0" w:val="clear"/>
            <w:tcMar>
              <w:top w:type="dxa" w:w="100"/>
              <w:left w:type="dxa" w:w="160"/>
              <w:bottom w:type="dxa" w:w="100"/>
              <w:right w:type="dxa" w:w="160"/>
            </w:tcMar>
            <w:vAlign w:val="top"/>
          </w:tcPr>
          <w:p>
            <w:r>
              <w:rPr>
                <w:rFonts w:ascii="Arial" w:cs="Arial" w:eastAsia="Arial" w:hAnsi="Arial"/>
                <w:b/>
                <w:bCs/>
                <w:color w:val="1B4F8A"/>
                <w:sz w:val="20"/>
                <w:szCs w:val="20"/>
              </w:rPr>
              <w:t xml:space="preserve">30</w:t>
            </w:r>
          </w:p>
        </w:tc>
        <w:tc>
          <w:tcPr>
            <w:tcW w:type="dxa" w:w="4560"/>
            <w:tcBorders>
              <w:top w:val="single" w:color="17657A" w:sz="1"/>
              <w:left w:val="single" w:color="17657A" w:sz="1"/>
              <w:bottom w:val="single" w:color="17657A" w:sz="1"/>
              <w:right w:val="single" w:color="17657A" w:sz="1"/>
            </w:tcBorders>
            <w:shd w:fill="D6E4F0" w:val="clear"/>
            <w:tcMar>
              <w:top w:type="dxa" w:w="100"/>
              <w:left w:type="dxa" w:w="160"/>
              <w:bottom w:type="dxa" w:w="100"/>
              <w:right w:type="dxa" w:w="160"/>
            </w:tcMar>
            <w:vAlign w:val="top"/>
          </w:tcPr>
          <w:p>
            <w:r>
              <w:rPr>
                <w:rFonts w:ascii="Arial" w:cs="Arial" w:eastAsia="Arial" w:hAnsi="Arial"/>
                <w:b/>
                <w:bCs/>
                <w:color w:val="1B4F8A"/>
                <w:sz w:val="20"/>
                <w:szCs w:val="20"/>
              </w:rPr>
              <w:t xml:space="preserve">Combined with technical score for final ranking</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9.3  Final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Component</w:t>
            </w:r>
          </w:p>
        </w:tc>
        <w:tc>
          <w:tcPr>
            <w:tcW w:type="dxa" w:w="24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Weight</w:t>
            </w:r>
          </w:p>
        </w:tc>
        <w:tc>
          <w:tcPr>
            <w:tcW w:type="dxa" w:w="45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Maximum Points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Technical Evaluation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70%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70 points</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Commercial Evaluation</w:t>
            </w:r>
          </w:p>
        </w:tc>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30%</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30 points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TOTAL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100 points</w:t>
            </w:r>
          </w:p>
        </w:tc>
      </w:tr>
    </w:tbl>
    <w:p>
      <w:pPr>
        <w:spacing w:after="80"/>
      </w:pPr>
      <w:r>
        <w:t xml:space="preserve"/>
      </w:r>
    </w:p>
    <w:p>
      <w:pPr>
        <w:spacing w:after="160"/>
      </w:pPr>
      <w:r>
        <w:rPr>
          <w:rFonts w:ascii="Arial" w:cs="Arial" w:eastAsia="Arial" w:hAnsi="Arial"/>
          <w:b w:val="false"/>
          <w:bCs w:val="false"/>
          <w:color w:val="1A1A2E"/>
          <w:sz w:val="22"/>
          <w:szCs w:val="22"/>
        </w:rPr>
        <w:t xml:space="preserve">CEF reserves the right to shortlist up to 3 vendors for a clarification presentation before making a final award decision. Shortlisted vendors will be notified within 5 business days of the proposal submission deadline.</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10. Contractual Requirements</w:t>
      </w:r>
    </w:p>
    <w:p>
      <w:pPr>
        <w:spacing w:after="160"/>
      </w:pPr>
      <w:r>
        <w:rPr>
          <w:rFonts w:ascii="Arial" w:cs="Arial" w:eastAsia="Arial" w:hAnsi="Arial"/>
          <w:b w:val="false"/>
          <w:bCs w:val="false"/>
          <w:color w:val="1A1A2E"/>
          <w:sz w:val="22"/>
          <w:szCs w:val="22"/>
        </w:rPr>
        <w:t xml:space="preserve">The following contractual terms are non-negotiable and must be accepted by the selected vendor. Any vendor unwilling to accept these terms should not submit a proposal.</w:t>
      </w:r>
    </w:p>
    <w:p>
      <w:pPr>
        <w:spacing w:after="80"/>
      </w:pPr>
      <w:r>
        <w:t xml:space="preserve"/>
      </w:r>
    </w:p>
    <w:p>
      <w:pPr>
        <w:pStyle w:val="Heading2"/>
        <w:spacing w:after="140" w:before="300"/>
      </w:pPr>
      <w:r>
        <w:rPr>
          <w:rFonts w:ascii="Arial" w:cs="Arial" w:eastAsia="Arial" w:hAnsi="Arial"/>
          <w:b/>
          <w:bCs/>
          <w:color w:val="17657A"/>
          <w:sz w:val="26"/>
          <w:szCs w:val="26"/>
        </w:rPr>
        <w:t xml:space="preserve">10.1  Fixed Price Contract</w:t>
      </w:r>
    </w:p>
    <w:p>
      <w:pPr>
        <w:spacing w:after="160"/>
      </w:pPr>
      <w:r>
        <w:rPr>
          <w:rFonts w:ascii="Arial" w:cs="Arial" w:eastAsia="Arial" w:hAnsi="Arial"/>
          <w:b w:val="false"/>
          <w:bCs w:val="false"/>
          <w:color w:val="1A1A2E"/>
          <w:sz w:val="22"/>
          <w:szCs w:val="22"/>
        </w:rPr>
        <w:t xml:space="preserve">CEF will only enter into a fixed-price contract for Work Packages 1–5. Time-and-materials billing is not accepted for the defined scope of work. Changes to scope are managed via the Change Request process (Section 6.3) and priced at the agreed day rates submitted in the commercial proposal.</w:t>
      </w:r>
    </w:p>
    <w:p>
      <w:pPr>
        <w:spacing w:after="80"/>
      </w:pPr>
      <w:r>
        <w:t xml:space="preserve"/>
      </w:r>
    </w:p>
    <w:p>
      <w:pPr>
        <w:pStyle w:val="Heading2"/>
        <w:spacing w:after="140" w:before="300"/>
      </w:pPr>
      <w:r>
        <w:rPr>
          <w:rFonts w:ascii="Arial" w:cs="Arial" w:eastAsia="Arial" w:hAnsi="Arial"/>
          <w:b/>
          <w:bCs/>
          <w:color w:val="17657A"/>
          <w:sz w:val="26"/>
          <w:szCs w:val="26"/>
        </w:rPr>
        <w:t xml:space="preserve">10.2  Milestone-Based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400"/>
        <w:gridCol w:w="3160"/>
      </w:tblGrid>
      <w:tr>
        <w:trPr>
          <w:tblHeader/>
        </w:trPr>
        <w:tc>
          <w:tcPr>
            <w:tcW w:type="dxa" w:w="28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Milestone</w:t>
            </w:r>
          </w:p>
        </w:tc>
        <w:tc>
          <w:tcPr>
            <w:tcW w:type="dxa" w:w="34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Payment Trigger</w:t>
            </w:r>
          </w:p>
        </w:tc>
        <w:tc>
          <w:tcPr>
            <w:tcW w:type="dxa" w:w="31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Payment %</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Mobilisation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Contract signing and project kick-off meeting conducted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Phase 1 Complete</w:t>
            </w:r>
          </w:p>
        </w:tc>
        <w:tc>
          <w:tcPr>
            <w:tcW w:type="dxa" w:w="3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Architecture sign-off by CEF IT lead; dev/staging environments operational; API contract delivered</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Phase 2 Complete</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backend modules operational in staging; integration tests passing; Entra ID SSO live</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25%</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Phase 3 Complete</w:t>
            </w:r>
          </w:p>
        </w:tc>
        <w:tc>
          <w:tcPr>
            <w:tcW w:type="dxa" w:w="3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three AssetCo integrations live in staging; full dashboard suite functional; end-to-end tests passing</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25%</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UAT Sign-Off</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 IT lead signs UAT acceptance document; all Critical/High defects resolved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15%</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Production Go-Live</w:t>
            </w:r>
          </w:p>
        </w:tc>
        <w:tc>
          <w:tcPr>
            <w:tcW w:type="dxa" w:w="3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Platform live in production; smoke tests passing; monitoring operational</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10%</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30-Day Warranty Expiry</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 unresolved Critical or High defects after 30 days in production</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5%</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10.3  Defect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200"/>
        <w:gridCol w:w="3160"/>
      </w:tblGrid>
      <w:tr>
        <w:trPr>
          <w:tblHeader/>
        </w:trPr>
        <w:tc>
          <w:tcPr>
            <w:tcW w:type="dxa" w:w="14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Defect Severity</w:t>
            </w:r>
          </w:p>
        </w:tc>
        <w:tc>
          <w:tcPr>
            <w:tcW w:type="dxa" w:w="26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Definition</w:t>
            </w:r>
          </w:p>
        </w:tc>
        <w:tc>
          <w:tcPr>
            <w:tcW w:type="dxa" w:w="22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Resolution SLA (during warranty)</w:t>
            </w:r>
          </w:p>
        </w:tc>
        <w:tc>
          <w:tcPr>
            <w:tcW w:type="dxa" w:w="31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Resolution SLA (post-warranty support)</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Critical</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Platform unavailable, data loss, security breach, or complete feature failure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4 hours to provide fix or workaround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4 hours</w:t>
            </w:r>
          </w:p>
        </w:tc>
      </w:tr>
      <w:tr>
        <w:trPr>
          <w:tblHeader w:val="false"/>
        </w:trPr>
        <w:tc>
          <w:tcPr>
            <w:tcW w:type="dxa" w:w="1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High</w:t>
            </w:r>
          </w:p>
        </w:tc>
        <w:tc>
          <w:tcPr>
            <w:tcW w:type="dxa" w:w="2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Major feature not working, significant data inaccuracy, or performance degradation below NFR targets</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48 hours</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 business days</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Medium</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Feature partially working with workaround available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1 week</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5 business days</w:t>
            </w:r>
          </w:p>
        </w:tc>
      </w:tr>
      <w:tr>
        <w:trPr>
          <w:tblHeader w:val="false"/>
        </w:trPr>
        <w:tc>
          <w:tcPr>
            <w:tcW w:type="dxa" w:w="1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Low</w:t>
            </w:r>
          </w:p>
        </w:tc>
        <w:tc>
          <w:tcPr>
            <w:tcW w:type="dxa" w:w="2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Minor UI issues, cosmetic defects, non-critical enhancements</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2 weeks</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Next scheduled release</w:t>
            </w:r>
          </w:p>
        </w:tc>
      </w:tr>
    </w:tbl>
    <w:p>
      <w:pPr>
        <w:spacing w:after="120"/>
      </w:pPr>
      <w:r>
        <w:t xml:space="preserve"/>
      </w:r>
    </w:p>
    <w:p>
      <w:pPr>
        <w:pStyle w:val="Heading2"/>
        <w:spacing w:after="140" w:before="300"/>
      </w:pPr>
      <w:r>
        <w:rPr>
          <w:rFonts w:ascii="Arial" w:cs="Arial" w:eastAsia="Arial" w:hAnsi="Arial"/>
          <w:b/>
          <w:bCs/>
          <w:color w:val="17657A"/>
          <w:sz w:val="26"/>
          <w:szCs w:val="26"/>
        </w:rPr>
        <w:t xml:space="preserve">10.4  Warranty Period</w:t>
      </w:r>
    </w:p>
    <w:p>
      <w:pPr>
        <w:spacing w:after="160"/>
      </w:pPr>
      <w:r>
        <w:rPr>
          <w:rFonts w:ascii="Arial" w:cs="Arial" w:eastAsia="Arial" w:hAnsi="Arial"/>
          <w:b w:val="false"/>
          <w:bCs w:val="false"/>
          <w:color w:val="1A1A2E"/>
          <w:sz w:val="22"/>
          <w:szCs w:val="22"/>
        </w:rPr>
        <w:t xml:space="preserve">The selected vendor must provide a 30-day warranty period following production go-live during which all Critical and High defects are resolved at no additional cost. The final 5% payment milestone is conditional on completing the warranty period with no unresolved Critical or High defects.</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11. Intellectual Property</w:t>
      </w:r>
    </w:p>
    <w:p>
      <w:pPr>
        <w:spacing w:after="160"/>
      </w:pPr>
      <w:r>
        <w:rPr>
          <w:rFonts w:ascii="Arial" w:cs="Arial" w:eastAsia="Arial" w:hAnsi="Arial"/>
          <w:b w:val="false"/>
          <w:bCs w:val="false"/>
          <w:color w:val="1A1A2E"/>
          <w:sz w:val="22"/>
          <w:szCs w:val="22"/>
        </w:rPr>
        <w:t xml:space="preserve">The following intellectual property terms apply to all work produced under this engagement. Vendors must confirm acceptance of these terms in their proposal.</w:t>
      </w:r>
    </w:p>
    <w:p>
      <w:pPr>
        <w:spacing w:after="80"/>
      </w:pPr>
      <w:r>
        <w:t xml:space="preserve"/>
      </w:r>
    </w:p>
    <w:p>
      <w:pPr>
        <w:pStyle w:val="ListParagraph"/>
        <w:numPr>
          <w:ilvl w:val="0"/>
          <w:numId w:val="2"/>
        </w:numPr>
        <w:spacing w:after="80"/>
      </w:pPr>
      <w:r>
        <w:rPr>
          <w:rFonts w:ascii="Arial" w:cs="Arial" w:eastAsia="Arial" w:hAnsi="Arial"/>
          <w:color w:val="1A1A2E"/>
          <w:sz w:val="22"/>
          <w:szCs w:val="22"/>
        </w:rPr>
        <w:t xml:space="preserve">All source code, documentation, configuration files, database schemas, deployment manifests, test scripts, and any other work product created specifically for this project under this engagement is and shall remain the sole intellectual property of Clean Energy Fund (CEF).</w:t>
      </w:r>
    </w:p>
    <w:p>
      <w:pPr>
        <w:pStyle w:val="ListParagraph"/>
        <w:numPr>
          <w:ilvl w:val="0"/>
          <w:numId w:val="2"/>
        </w:numPr>
        <w:spacing w:after="80"/>
      </w:pPr>
      <w:r>
        <w:rPr>
          <w:rFonts w:ascii="Arial" w:cs="Arial" w:eastAsia="Arial" w:hAnsi="Arial"/>
          <w:color w:val="1A1A2E"/>
          <w:sz w:val="22"/>
          <w:szCs w:val="22"/>
        </w:rPr>
        <w:t xml:space="preserve">The vendor assigns all rights, title, and interest in such work product to CEF upon creation, with full payment for the relevant milestone constituting consideration for that assignment.</w:t>
      </w:r>
    </w:p>
    <w:p>
      <w:pPr>
        <w:pStyle w:val="ListParagraph"/>
        <w:numPr>
          <w:ilvl w:val="0"/>
          <w:numId w:val="2"/>
        </w:numPr>
        <w:spacing w:after="80"/>
      </w:pPr>
      <w:r>
        <w:rPr>
          <w:rFonts w:ascii="Arial" w:cs="Arial" w:eastAsia="Arial" w:hAnsi="Arial"/>
          <w:color w:val="1A1A2E"/>
          <w:sz w:val="22"/>
          <w:szCs w:val="22"/>
        </w:rPr>
        <w:t xml:space="preserve">The vendor may not reuse, repurpose, or commercially exploit any work product created specifically for CEF-PIP in another client engagement without prior written consent from CEF.</w:t>
      </w:r>
    </w:p>
    <w:p>
      <w:pPr>
        <w:pStyle w:val="ListParagraph"/>
        <w:numPr>
          <w:ilvl w:val="0"/>
          <w:numId w:val="2"/>
        </w:numPr>
        <w:spacing w:after="80"/>
      </w:pPr>
      <w:r>
        <w:rPr>
          <w:rFonts w:ascii="Arial" w:cs="Arial" w:eastAsia="Arial" w:hAnsi="Arial"/>
          <w:color w:val="1A1A2E"/>
          <w:sz w:val="22"/>
          <w:szCs w:val="22"/>
        </w:rPr>
        <w:t xml:space="preserve">Open-source libraries and frameworks used in the project retain their original licences. The vendor must ensure all open-source components are used in compliance with their licences and provide a full third-party licence inventory as part of the handover package.</w:t>
      </w:r>
    </w:p>
    <w:p>
      <w:pPr>
        <w:pStyle w:val="ListParagraph"/>
        <w:numPr>
          <w:ilvl w:val="0"/>
          <w:numId w:val="2"/>
        </w:numPr>
        <w:spacing w:after="80"/>
      </w:pPr>
      <w:r>
        <w:rPr>
          <w:rFonts w:ascii="Arial" w:cs="Arial" w:eastAsia="Arial" w:hAnsi="Arial"/>
          <w:color w:val="1A1A2E"/>
          <w:sz w:val="22"/>
          <w:szCs w:val="22"/>
        </w:rPr>
        <w:t xml:space="preserve">The vendor may reference CEF as a client in their marketing materials (company name only) after project completion, unless CEF requests otherwise in writing.</w:t>
      </w:r>
    </w:p>
    <w:p>
      <w:pPr>
        <w:pStyle w:val="ListParagraph"/>
        <w:numPr>
          <w:ilvl w:val="0"/>
          <w:numId w:val="2"/>
        </w:numPr>
        <w:spacing w:after="80"/>
      </w:pPr>
      <w:r>
        <w:rPr>
          <w:rFonts w:ascii="Arial" w:cs="Arial" w:eastAsia="Arial" w:hAnsi="Arial"/>
          <w:color w:val="1A1A2E"/>
          <w:sz w:val="22"/>
          <w:szCs w:val="22"/>
        </w:rPr>
        <w:t xml:space="preserve">Any pre-existing vendor IP incorporated into the project must be disclosed in the proposal and licensed to CEF on a perpetual, royalty-free basis for use within CEF-PIP. Pre-existing vendor IP that is not disclosed before contract signing cannot be included in the deliverables.</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12. Confidentiality</w:t>
      </w:r>
    </w:p>
    <w:p>
      <w:pPr>
        <w:pStyle w:val="ListParagraph"/>
        <w:numPr>
          <w:ilvl w:val="0"/>
          <w:numId w:val="2"/>
        </w:numPr>
        <w:spacing w:after="80"/>
      </w:pPr>
      <w:r>
        <w:rPr>
          <w:rFonts w:ascii="Arial" w:cs="Arial" w:eastAsia="Arial" w:hAnsi="Arial"/>
          <w:color w:val="1A1A2E"/>
          <w:sz w:val="22"/>
          <w:szCs w:val="22"/>
        </w:rPr>
        <w:t xml:space="preserve">All information contained in this RFP and the attached reference documents is confidential and proprietary to CEF.</w:t>
      </w:r>
    </w:p>
    <w:p>
      <w:pPr>
        <w:pStyle w:val="ListParagraph"/>
        <w:numPr>
          <w:ilvl w:val="0"/>
          <w:numId w:val="2"/>
        </w:numPr>
        <w:spacing w:after="80"/>
      </w:pPr>
      <w:r>
        <w:rPr>
          <w:rFonts w:ascii="Arial" w:cs="Arial" w:eastAsia="Arial" w:hAnsi="Arial"/>
          <w:color w:val="1A1A2E"/>
          <w:sz w:val="22"/>
          <w:szCs w:val="22"/>
        </w:rPr>
        <w:t xml:space="preserve">By submitting a proposal, vendors confirm they have received this RFP in confidence and agree to use the information solely for the purpose of preparing a proposal.</w:t>
      </w:r>
    </w:p>
    <w:p>
      <w:pPr>
        <w:pStyle w:val="ListParagraph"/>
        <w:numPr>
          <w:ilvl w:val="0"/>
          <w:numId w:val="2"/>
        </w:numPr>
        <w:spacing w:after="80"/>
      </w:pPr>
      <w:r>
        <w:rPr>
          <w:rFonts w:ascii="Arial" w:cs="Arial" w:eastAsia="Arial" w:hAnsi="Arial"/>
          <w:color w:val="1A1A2E"/>
          <w:sz w:val="22"/>
          <w:szCs w:val="22"/>
        </w:rPr>
        <w:t xml:space="preserve">Vendors must not share any RFP documents, data, or information with any third party (including subcontractors) without prior written consent from CEF. Where subcontractors are proposed, they must be identified in the proposal and CEF's consent sought explicitly.</w:t>
      </w:r>
    </w:p>
    <w:p>
      <w:pPr>
        <w:pStyle w:val="ListParagraph"/>
        <w:numPr>
          <w:ilvl w:val="0"/>
          <w:numId w:val="2"/>
        </w:numPr>
        <w:spacing w:after="80"/>
      </w:pPr>
      <w:r>
        <w:rPr>
          <w:rFonts w:ascii="Arial" w:cs="Arial" w:eastAsia="Arial" w:hAnsi="Arial"/>
          <w:color w:val="1A1A2E"/>
          <w:sz w:val="22"/>
          <w:szCs w:val="22"/>
        </w:rPr>
        <w:t xml:space="preserve">Vendors who do not submit a proposal must return or destroy all RFP documents upon deciding not to respond.</w:t>
      </w:r>
    </w:p>
    <w:p>
      <w:pPr>
        <w:pStyle w:val="ListParagraph"/>
        <w:numPr>
          <w:ilvl w:val="0"/>
          <w:numId w:val="2"/>
        </w:numPr>
        <w:spacing w:after="80"/>
      </w:pPr>
      <w:r>
        <w:rPr>
          <w:rFonts w:ascii="Arial" w:cs="Arial" w:eastAsia="Arial" w:hAnsi="Arial"/>
          <w:color w:val="1A1A2E"/>
          <w:sz w:val="22"/>
          <w:szCs w:val="22"/>
        </w:rPr>
        <w:t xml:space="preserve">The confidentiality obligations in this section survive the conclusion of the procurement process regardless of outcome.</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13. Procurement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Event</w:t>
            </w:r>
          </w:p>
        </w:tc>
        <w:tc>
          <w:tcPr>
            <w:tcW w:type="dxa" w:w="22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Target Date</w:t>
            </w:r>
          </w:p>
        </w:tc>
        <w:tc>
          <w:tcPr>
            <w:tcW w:type="dxa" w:w="45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Notes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RFP Issued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[Date of Issue]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Queries Submission Deadline</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[Issue Date + 10 days]</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Submit to IT Lead email — subject: CEF-PIP RFP Query</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 Response to Queries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[Issue Date + 14 days]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Responses circulated to all registered vendors simultaneously</w:t>
            </w:r>
          </w:p>
        </w:tc>
      </w:tr>
      <w:tr>
        <w:trPr>
          <w:tblHeader w:val="false"/>
        </w:trPr>
        <w:tc>
          <w:tcPr>
            <w:tcW w:type="dxa" w:w="2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Proposal Submission Deadline</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[Issue Date + 21 days]</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No late submissions accepted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Technical Evaluation Complete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[Submission Deadline + 7 days]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 evaluation panel review</w:t>
            </w:r>
          </w:p>
        </w:tc>
      </w:tr>
      <w:tr>
        <w:trPr>
          <w:tblHeader w:val="false"/>
        </w:trPr>
        <w:tc>
          <w:tcPr>
            <w:tcW w:type="dxa" w:w="2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Shortlist Notification</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[Submission Deadline + 10 days]</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Up to 3 vendors shortlisted</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Shortlist Presentations (if required)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[Submission Deadline + 14 days]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30-minute virtual presentation per shortlisted vendor</w:t>
            </w:r>
          </w:p>
        </w:tc>
      </w:tr>
      <w:tr>
        <w:trPr>
          <w:tblHeader w:val="false"/>
        </w:trPr>
        <w:tc>
          <w:tcPr>
            <w:tcW w:type="dxa" w:w="2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Commercial Evaluation Complete</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[Submission Deadline + 17 days]</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Award Notification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[Submission Deadline + 21 days]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Successful and unsuccessful vendors notified simultaneously</w:t>
            </w:r>
          </w:p>
        </w:tc>
      </w:tr>
      <w:tr>
        <w:trPr>
          <w:tblHeader w:val="false"/>
        </w:trPr>
        <w:tc>
          <w:tcPr>
            <w:tcW w:type="dxa" w:w="26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Contract Signing</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[Award + 7 days]</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Project Kick-Off</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[Contract Signing + 7 days]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bl>
    <w:p>
      <w:pPr>
        <w:spacing w:after="80"/>
      </w:pPr>
      <w:r>
        <w:t xml:space="preserve"/>
      </w:r>
    </w:p>
    <w:p>
      <w:pPr>
        <w:spacing w:after="160"/>
      </w:pPr>
      <w:r>
        <w:rPr>
          <w:rFonts w:ascii="Arial" w:cs="Arial" w:eastAsia="Arial" w:hAnsi="Arial"/>
          <w:b w:val="false"/>
          <w:bCs w:val="false"/>
          <w:color w:val="1A1A2E"/>
          <w:sz w:val="22"/>
          <w:szCs w:val="22"/>
        </w:rPr>
        <w:t xml:space="preserve">All dates marked [TO BE CONFIRMED] will be specified in the final version of this RFP issued to vendors. CEF reserves the right to adjust the procurement timeline and will notify all registered vendors of any changes.</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14. Clarification &amp; Amendment Process</w:t>
      </w:r>
    </w:p>
    <w:p>
      <w:pPr>
        <w:pStyle w:val="ListParagraph"/>
        <w:numPr>
          <w:ilvl w:val="0"/>
          <w:numId w:val="2"/>
        </w:numPr>
        <w:spacing w:after="80"/>
      </w:pPr>
      <w:r>
        <w:rPr>
          <w:rFonts w:ascii="Arial" w:cs="Arial" w:eastAsia="Arial" w:hAnsi="Arial"/>
          <w:color w:val="1A1A2E"/>
          <w:sz w:val="22"/>
          <w:szCs w:val="22"/>
        </w:rPr>
        <w:t xml:space="preserve">Vendors may submit written questions about this RFP up to the Queries Submission Deadline (see Section 13).</w:t>
      </w:r>
    </w:p>
    <w:p>
      <w:pPr>
        <w:pStyle w:val="ListParagraph"/>
        <w:numPr>
          <w:ilvl w:val="0"/>
          <w:numId w:val="2"/>
        </w:numPr>
        <w:spacing w:after="80"/>
      </w:pPr>
      <w:r>
        <w:rPr>
          <w:rFonts w:ascii="Arial" w:cs="Arial" w:eastAsia="Arial" w:hAnsi="Arial"/>
          <w:color w:val="1A1A2E"/>
          <w:sz w:val="22"/>
          <w:szCs w:val="22"/>
        </w:rPr>
        <w:t xml:space="preserve">All questions must be submitted by email to the CEF IT Lead at the address on the cover page, with the subject line: CEF-PIP RFP Query — [Vendor Name].</w:t>
      </w:r>
    </w:p>
    <w:p>
      <w:pPr>
        <w:pStyle w:val="ListParagraph"/>
        <w:numPr>
          <w:ilvl w:val="0"/>
          <w:numId w:val="2"/>
        </w:numPr>
        <w:spacing w:after="80"/>
      </w:pPr>
      <w:r>
        <w:rPr>
          <w:rFonts w:ascii="Arial" w:cs="Arial" w:eastAsia="Arial" w:hAnsi="Arial"/>
          <w:color w:val="1A1A2E"/>
          <w:sz w:val="22"/>
          <w:szCs w:val="22"/>
        </w:rPr>
        <w:t xml:space="preserve">CEF will compile all questions and issue a single consolidated Q&amp;A document to all registered vendors by the Response to Queries date. Individual responses will not be provided.</w:t>
      </w:r>
    </w:p>
    <w:p>
      <w:pPr>
        <w:pStyle w:val="ListParagraph"/>
        <w:numPr>
          <w:ilvl w:val="0"/>
          <w:numId w:val="2"/>
        </w:numPr>
        <w:spacing w:after="80"/>
      </w:pPr>
      <w:r>
        <w:rPr>
          <w:rFonts w:ascii="Arial" w:cs="Arial" w:eastAsia="Arial" w:hAnsi="Arial"/>
          <w:color w:val="1A1A2E"/>
          <w:sz w:val="22"/>
          <w:szCs w:val="22"/>
        </w:rPr>
        <w:t xml:space="preserve">CEF reserves the right to issue amendments to this RFP at any time before the submission deadline. Amendments will be circulated to all registered vendors by email. If an amendment materially changes the scope or requirements, CEF may extend the submission deadline accordingly.</w:t>
      </w:r>
    </w:p>
    <w:p>
      <w:pPr>
        <w:pStyle w:val="ListParagraph"/>
        <w:numPr>
          <w:ilvl w:val="0"/>
          <w:numId w:val="2"/>
        </w:numPr>
        <w:spacing w:after="80"/>
      </w:pPr>
      <w:r>
        <w:rPr>
          <w:rFonts w:ascii="Arial" w:cs="Arial" w:eastAsia="Arial" w:hAnsi="Arial"/>
          <w:color w:val="1A1A2E"/>
          <w:sz w:val="22"/>
          <w:szCs w:val="22"/>
        </w:rPr>
        <w:t xml:space="preserve">Vendors who wish to be registered as recipients of Q&amp;A responses and amendments must notify the CEF IT Lead by email with the subject: CEF-PIP RFP Registration — [Vendor Name].</w:t>
      </w:r>
    </w:p>
    <w:p>
      <w:pPr>
        <w:pStyle w:val="ListParagraph"/>
        <w:numPr>
          <w:ilvl w:val="0"/>
          <w:numId w:val="2"/>
        </w:numPr>
        <w:spacing w:after="80"/>
      </w:pPr>
      <w:r>
        <w:rPr>
          <w:rFonts w:ascii="Arial" w:cs="Arial" w:eastAsia="Arial" w:hAnsi="Arial"/>
          <w:color w:val="1A1A2E"/>
          <w:sz w:val="22"/>
          <w:szCs w:val="22"/>
        </w:rPr>
        <w:t xml:space="preserve">Verbal clarifications are not binding. Only written clarifications issued through the formal Q&amp;A process form part of the RFP.</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15. Submission Instructions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Item</w:t>
            </w:r>
          </w:p>
        </w:tc>
        <w:tc>
          <w:tcPr>
            <w:tcW w:type="dxa" w:w="69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Requirement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Submission format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Single PDF (or named ZIP archive) submitted by email</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Email address</w:t>
            </w:r>
          </w:p>
        </w:tc>
        <w:tc>
          <w:tcPr>
            <w:tcW w:type="dxa" w:w="6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 IT Lead email address — to be inserted]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Subject line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CEF-PIP RFP Response — [Vendor Company Name]</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File naming</w:t>
            </w:r>
          </w:p>
        </w:tc>
        <w:tc>
          <w:tcPr>
            <w:tcW w:type="dxa" w:w="6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Technical proposal: CEF-PIP_Technical_Proposal_[VendorName].pdf</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Commercial proposal: CEF-PIP_Commercial_Proposal_[VendorName].pdf (separate attachment)</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Submission deadline</w:t>
            </w:r>
          </w:p>
        </w:tc>
        <w:tc>
          <w:tcPr>
            <w:tcW w:type="dxa" w:w="6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[TO BE CONFIRMED — proposals received after this time will not be accepted]</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File size limit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Total submission must not exceed 25MB. Large appendices (e.g. case study portfolios) may be provided as a shared link.</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Language</w:t>
            </w:r>
          </w:p>
        </w:tc>
        <w:tc>
          <w:tcPr>
            <w:tcW w:type="dxa" w:w="6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English only</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Currency</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Nigerian Naira (NGN) for all pricing. USD equivalent may be provided alongside NGN pricing for reference.</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Copies</w:t>
            </w:r>
          </w:p>
        </w:tc>
        <w:tc>
          <w:tcPr>
            <w:tcW w:type="dxa" w:w="6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One digital submission only — no physical copies required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2200" w:sz="1"/>
              <w:left w:val="single" w:color="CC2200" w:sz="20"/>
              <w:bottom w:val="single" w:color="CC2200" w:sz="1"/>
              <w:right w:val="single" w:color="CCCCCC" w:sz="1"/>
            </w:tcBorders>
            <w:shd w:fill="FDECEA" w:val="clear"/>
            <w:tcMar>
              <w:top w:type="dxa" w:w="120"/>
              <w:left w:type="dxa" w:w="200"/>
              <w:bottom w:type="dxa" w:w="120"/>
              <w:right w:type="dxa" w:w="200"/>
            </w:tcMar>
          </w:tcPr>
          <w:p>
            <w:pPr>
              <w:spacing w:after="60"/>
            </w:pPr>
            <w:r>
              <w:rPr>
                <w:rFonts w:ascii="Arial" w:cs="Arial" w:eastAsia="Arial" w:hAnsi="Arial"/>
                <w:b/>
                <w:bCs/>
                <w:color w:val="CC2200"/>
                <w:sz w:val="20"/>
                <w:szCs w:val="20"/>
              </w:rPr>
              <w:t xml:space="preserve">LATE SUBMISSIONS</w:t>
            </w:r>
          </w:p>
          <w:p>
            <w:pPr>
              <w:spacing w:after="0"/>
            </w:pPr>
            <w:r>
              <w:rPr>
                <w:rFonts w:ascii="Arial" w:cs="Arial" w:eastAsia="Arial" w:hAnsi="Arial"/>
                <w:color w:val="1A1A2E"/>
                <w:sz w:val="20"/>
                <w:szCs w:val="20"/>
              </w:rPr>
              <w:t xml:space="preserve">Proposals received after the submission deadline will not be accepted under any circumstances, including technical or network issues on the vendor's side. Vendors are strongly advised to submit at least 2 hours before the deadline.</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16. Disclaimer &amp; Right to Reject</w:t>
      </w:r>
    </w:p>
    <w:p>
      <w:pPr>
        <w:pStyle w:val="ListParagraph"/>
        <w:numPr>
          <w:ilvl w:val="0"/>
          <w:numId w:val="2"/>
        </w:numPr>
        <w:spacing w:after="80"/>
      </w:pPr>
      <w:r>
        <w:rPr>
          <w:rFonts w:ascii="Arial" w:cs="Arial" w:eastAsia="Arial" w:hAnsi="Arial"/>
          <w:color w:val="1A1A2E"/>
          <w:sz w:val="22"/>
          <w:szCs w:val="22"/>
        </w:rPr>
        <w:t xml:space="preserve">CEF reserves the right to accept or reject any or all proposals without assigning any reason and without incurring any liability to any vendor.</w:t>
      </w:r>
    </w:p>
    <w:p>
      <w:pPr>
        <w:pStyle w:val="ListParagraph"/>
        <w:numPr>
          <w:ilvl w:val="0"/>
          <w:numId w:val="2"/>
        </w:numPr>
        <w:spacing w:after="80"/>
      </w:pPr>
      <w:r>
        <w:rPr>
          <w:rFonts w:ascii="Arial" w:cs="Arial" w:eastAsia="Arial" w:hAnsi="Arial"/>
          <w:color w:val="1A1A2E"/>
          <w:sz w:val="22"/>
          <w:szCs w:val="22"/>
        </w:rPr>
        <w:t xml:space="preserve">CEF reserves the right to cancel this procurement process at any time without obligation to any vendor.</w:t>
      </w:r>
    </w:p>
    <w:p>
      <w:pPr>
        <w:pStyle w:val="ListParagraph"/>
        <w:numPr>
          <w:ilvl w:val="0"/>
          <w:numId w:val="2"/>
        </w:numPr>
        <w:spacing w:after="80"/>
      </w:pPr>
      <w:r>
        <w:rPr>
          <w:rFonts w:ascii="Arial" w:cs="Arial" w:eastAsia="Arial" w:hAnsi="Arial"/>
          <w:color w:val="1A1A2E"/>
          <w:sz w:val="22"/>
          <w:szCs w:val="22"/>
        </w:rPr>
        <w:t xml:space="preserve">CEF is not obligated to award the contract to the lowest-priced proposal.</w:t>
      </w:r>
    </w:p>
    <w:p>
      <w:pPr>
        <w:pStyle w:val="ListParagraph"/>
        <w:numPr>
          <w:ilvl w:val="0"/>
          <w:numId w:val="2"/>
        </w:numPr>
        <w:spacing w:after="80"/>
      </w:pPr>
      <w:r>
        <w:rPr>
          <w:rFonts w:ascii="Arial" w:cs="Arial" w:eastAsia="Arial" w:hAnsi="Arial"/>
          <w:color w:val="1A1A2E"/>
          <w:sz w:val="22"/>
          <w:szCs w:val="22"/>
        </w:rPr>
        <w:t xml:space="preserve">CEF reserves the right to negotiate with one or more vendors simultaneously after the evaluation process.</w:t>
      </w:r>
    </w:p>
    <w:p>
      <w:pPr>
        <w:pStyle w:val="ListParagraph"/>
        <w:numPr>
          <w:ilvl w:val="0"/>
          <w:numId w:val="2"/>
        </w:numPr>
        <w:spacing w:after="80"/>
      </w:pPr>
      <w:r>
        <w:rPr>
          <w:rFonts w:ascii="Arial" w:cs="Arial" w:eastAsia="Arial" w:hAnsi="Arial"/>
          <w:color w:val="1A1A2E"/>
          <w:sz w:val="22"/>
          <w:szCs w:val="22"/>
        </w:rPr>
        <w:t xml:space="preserve">Submission of a proposal does not constitute or imply any commitment by CEF to enter into a contract with the submitting vendor.</w:t>
      </w:r>
    </w:p>
    <w:p>
      <w:pPr>
        <w:pStyle w:val="ListParagraph"/>
        <w:numPr>
          <w:ilvl w:val="0"/>
          <w:numId w:val="2"/>
        </w:numPr>
        <w:spacing w:after="80"/>
      </w:pPr>
      <w:r>
        <w:rPr>
          <w:rFonts w:ascii="Arial" w:cs="Arial" w:eastAsia="Arial" w:hAnsi="Arial"/>
          <w:color w:val="1A1A2E"/>
          <w:sz w:val="22"/>
          <w:szCs w:val="22"/>
        </w:rPr>
        <w:t xml:space="preserve">CEF reserves the right to verify any information provided in a proposal, including by contacting named references or conducting background checks on the vendor.</w:t>
      </w:r>
    </w:p>
    <w:p>
      <w:pPr>
        <w:pStyle w:val="ListParagraph"/>
        <w:numPr>
          <w:ilvl w:val="0"/>
          <w:numId w:val="2"/>
        </w:numPr>
        <w:spacing w:after="80"/>
      </w:pPr>
      <w:r>
        <w:rPr>
          <w:rFonts w:ascii="Arial" w:cs="Arial" w:eastAsia="Arial" w:hAnsi="Arial"/>
          <w:color w:val="1A1A2E"/>
          <w:sz w:val="22"/>
          <w:szCs w:val="22"/>
        </w:rPr>
        <w:t xml:space="preserve">Any attempt by a vendor to improperly influence the evaluation process will result in immediate disqualification.</w:t>
      </w:r>
    </w:p>
    <w:p>
      <w:pPr>
        <w:pStyle w:val="ListParagraph"/>
        <w:numPr>
          <w:ilvl w:val="0"/>
          <w:numId w:val="2"/>
        </w:numPr>
        <w:spacing w:after="80"/>
      </w:pPr>
      <w:r>
        <w:rPr>
          <w:rFonts w:ascii="Arial" w:cs="Arial" w:eastAsia="Arial" w:hAnsi="Arial"/>
          <w:color w:val="1A1A2E"/>
          <w:sz w:val="22"/>
          <w:szCs w:val="22"/>
        </w:rPr>
        <w:t xml:space="preserve">All costs incurred by vendors in preparing and submitting a proposal are borne entirely by the vendor. CEF will not reimburse proposal preparation costs under any circumstances.</w:t>
      </w:r>
    </w:p>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Appendix A — Glossary of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Term</w:t>
            </w:r>
          </w:p>
        </w:tc>
        <w:tc>
          <w:tcPr>
            <w:tcW w:type="dxa" w:w="69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Definition</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AssetCo</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An independently operated portfolio company financed by CEF. Current AssetCos: GroSolar, EML, SSM.</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w:t>
            </w:r>
          </w:p>
        </w:tc>
        <w:tc>
          <w:tcPr>
            <w:tcW w:type="dxa" w:w="6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Clean Energy Fund — the fund issuing this RFP.</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CEF-PIP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 Portfolio Intelligence Platform — the software system being procured through this RFP.</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CIS</w:t>
            </w:r>
          </w:p>
        </w:tc>
        <w:tc>
          <w:tcPr>
            <w:tcW w:type="dxa" w:w="6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CEF Integration Standard — the API and event schema contract that all AssetCo platforms must implement to integrate with CEF-PIP.</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FRD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Functional Requirements Document — one of the three attached reference documents.</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TRS</w:t>
            </w:r>
          </w:p>
        </w:tc>
        <w:tc>
          <w:tcPr>
            <w:tcW w:type="dxa" w:w="6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Technical Requirements Specification — one of the three attached reference documents.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NestJS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 Node.js framework for building scalable server-side applications using TypeScript.</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Next.js</w:t>
            </w:r>
          </w:p>
        </w:tc>
        <w:tc>
          <w:tcPr>
            <w:tcW w:type="dxa" w:w="6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 React framework for building production-grade web applications with server-side rendering.</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Entra ID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Microsoft Entra ID (formerly Azure Active Directory) — CEF's existing identity provider.</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AKS</w:t>
            </w:r>
          </w:p>
        </w:tc>
        <w:tc>
          <w:tcPr>
            <w:tcW w:type="dxa" w:w="6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Kubernetes Service — the managed container orchestration platform specified in the TRS.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SSO</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Single Sign-On — authentication via a centralised identity provider (Entra ID).</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RBAC</w:t>
            </w:r>
          </w:p>
        </w:tc>
        <w:tc>
          <w:tcPr>
            <w:tcW w:type="dxa" w:w="6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Role-Based Access Control — access management model used throughout CEF-PIP.</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OEM</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Original Equipment Manufacturer — the hardware vendor for AssetCo assets (e.g. TankVolt for SSM bikes).</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RFP</w:t>
            </w:r>
          </w:p>
        </w:tc>
        <w:tc>
          <w:tcPr>
            <w:tcW w:type="dxa" w:w="6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Request for Proposal — this document.</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UAT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User Acceptance Testing — formal testing conducted by CEF IT team against the staging environment before go-live.</w:t>
            </w:r>
          </w:p>
        </w:tc>
      </w:tr>
      <w:tr>
        <w:trPr>
          <w:tblHeader w:val="false"/>
        </w:trPr>
        <w:tc>
          <w:tcPr>
            <w:tcW w:type="dxa" w:w="24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WAT</w:t>
            </w:r>
          </w:p>
        </w:tc>
        <w:tc>
          <w:tcPr>
            <w:tcW w:type="dxa" w:w="69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West Africa Time — the timezone in which CEF operates (UTC+1).</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Appendix B — Proposal Submission Checklist</w:t>
      </w:r>
    </w:p>
    <w:p>
      <w:pPr>
        <w:spacing w:after="160"/>
      </w:pPr>
      <w:r>
        <w:rPr>
          <w:rFonts w:ascii="Arial" w:cs="Arial" w:eastAsia="Arial" w:hAnsi="Arial"/>
          <w:b w:val="false"/>
          <w:bCs w:val="false"/>
          <w:color w:val="1A1A2E"/>
          <w:sz w:val="22"/>
          <w:szCs w:val="22"/>
        </w:rPr>
        <w:t xml:space="preserve">Use this checklist to verify your proposal is complete before submission. Proposals missing any REQUIRED item may be disqualified.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200"/>
        <w:gridCol w:w="3160"/>
      </w:tblGrid>
      <w:tr>
        <w:trPr>
          <w:tblHeader/>
        </w:trPr>
        <w:tc>
          <w:tcPr>
            <w:tcW w:type="dxa" w:w="40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Item</w:t>
            </w:r>
          </w:p>
        </w:tc>
        <w:tc>
          <w:tcPr>
            <w:tcW w:type="dxa" w:w="22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Required / Optional</w:t>
            </w:r>
          </w:p>
        </w:tc>
        <w:tc>
          <w:tcPr>
            <w:tcW w:type="dxa" w:w="31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Included?</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Section 1: Executive Summary (max 2 pages)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Section 2: Company Profile (max 3 pages)</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Section 3: Technical Approach (max 10 pages)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Section 3: Stack compliance confirmation table</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Section 3: Any proposed deviations from mandatory stack — with justification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 if deviating</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Section 4: Project Plan with Gantt chart (max 5 pages)</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Section 4: Named team structure with allocation %</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Section 4: Risk register with mitigations</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Section 5: Commercial Proposal (separate PDF)</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Section 5: Pricing breakdown using Appendix D template</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Section 5: Payment schedule tied to milestones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Section 5: Day rates for change requests</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Section 5: Post-go-live support options and pricing</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Section 6: Minimum 3 reference projects (Appendix C template)</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Section 7: CVs for Project Manager and Lead Technical Architect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Section 7: CVs for Lead Backend, Frontend, and DevOps engineers</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Certificate of incorporation or equivalent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Confirmation of acceptance of IP terms (Section 11)</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Confirmation of acceptance of confidentiality terms (Section 12)</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Required</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Azure certification(s) held by team members</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Optional</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ISO 27001 or equivalent certificate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Optional</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r>
        <w:trPr>
          <w:tblHeader w:val="false"/>
        </w:trPr>
        <w:tc>
          <w:tcPr>
            <w:tcW w:type="dxa" w:w="4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Energy sector case studies or portfolio</w:t>
            </w:r>
          </w:p>
        </w:tc>
        <w:tc>
          <w:tcPr>
            <w:tcW w:type="dxa" w:w="2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Optional</w:t>
            </w:r>
          </w:p>
        </w:tc>
        <w:tc>
          <w:tcPr>
            <w:tcW w:type="dxa" w:w="31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t>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Appendix C — Vendor Reference Project Template</w:t>
      </w:r>
    </w:p>
    <w:p>
      <w:pPr>
        <w:spacing w:after="160"/>
      </w:pPr>
      <w:r>
        <w:rPr>
          <w:rFonts w:ascii="Arial" w:cs="Arial" w:eastAsia="Arial" w:hAnsi="Arial"/>
          <w:b w:val="false"/>
          <w:bCs w:val="false"/>
          <w:color w:val="1A1A2E"/>
          <w:sz w:val="22"/>
          <w:szCs w:val="22"/>
        </w:rPr>
        <w:t xml:space="preserve">Complete one copy of this template for each reference project (minimum 3 required). Attach to the proposal as an appendix.</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Field</w:t>
            </w:r>
          </w:p>
        </w:tc>
        <w:tc>
          <w:tcPr>
            <w:tcW w:type="dxa" w:w="65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Details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Project Name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Client Name</w:t>
            </w:r>
          </w:p>
        </w:tc>
        <w:tc>
          <w:tcPr>
            <w:tcW w:type="dxa" w:w="6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Client Industry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Project Completion Date</w:t>
            </w:r>
          </w:p>
        </w:tc>
        <w:tc>
          <w:tcPr>
            <w:tcW w:type="dxa" w:w="6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Project Value (approximate)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Project Duration</w:t>
            </w:r>
          </w:p>
        </w:tc>
        <w:tc>
          <w:tcPr>
            <w:tcW w:type="dxa" w:w="6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Technology Stack Used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Brief Project Description (3–5 sentences)</w:t>
            </w:r>
          </w:p>
        </w:tc>
        <w:tc>
          <w:tcPr>
            <w:tcW w:type="dxa" w:w="6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Relevance to CEF-PIP (why this reference is relevant)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Key Challenges Overcome</w:t>
            </w:r>
          </w:p>
        </w:tc>
        <w:tc>
          <w:tcPr>
            <w:tcW w:type="dxa" w:w="6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Vendor's Role &amp; Key Responsibilities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Team Size on This Project</w:t>
            </w:r>
          </w:p>
        </w:tc>
        <w:tc>
          <w:tcPr>
            <w:tcW w:type="dxa" w:w="6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Client Reference Contact Name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Client Reference Contact Title</w:t>
            </w:r>
          </w:p>
        </w:tc>
        <w:tc>
          <w:tcPr>
            <w:tcW w:type="dxa" w:w="6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Client Reference Contact Email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Client Reference Contact Phone</w:t>
            </w:r>
          </w:p>
        </w:tc>
        <w:tc>
          <w:tcPr>
            <w:tcW w:type="dxa" w:w="6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May CEF contact this reference? (Yes / No)</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bl>
    <w:p>
      <w:r>
        <w:br w:type="page"/>
      </w:r>
    </w:p>
    <w:p>
      <w:pPr>
        <w:pStyle w:val="Heading1"/>
        <w:pBdr>
          <w:bottom w:val="single" w:color="2980B9" w:sz="8" w:space="4"/>
        </w:pBdr>
        <w:spacing w:after="200" w:before="400"/>
      </w:pPr>
      <w:r>
        <w:rPr>
          <w:rFonts w:ascii="Arial" w:cs="Arial" w:eastAsia="Arial" w:hAnsi="Arial"/>
          <w:b/>
          <w:bCs/>
          <w:color w:val="1B4F8A"/>
          <w:sz w:val="32"/>
          <w:szCs w:val="32"/>
        </w:rPr>
        <w:t xml:space="preserve">Appendix D — Pricing Breakdown Template</w:t>
      </w:r>
    </w:p>
    <w:p>
      <w:pPr>
        <w:spacing w:after="160"/>
      </w:pPr>
      <w:r>
        <w:rPr>
          <w:rFonts w:ascii="Arial" w:cs="Arial" w:eastAsia="Arial" w:hAnsi="Arial"/>
          <w:b w:val="false"/>
          <w:bCs w:val="false"/>
          <w:color w:val="1A1A2E"/>
          <w:sz w:val="22"/>
          <w:szCs w:val="22"/>
        </w:rPr>
        <w:t xml:space="preserve">Complete this template for the commercial proposal. All pricing in Nigerian Naira (NGN). USD equivalent may be provided alongside for reference. This template must be used — custom pricing formats will not be accepted.</w:t>
      </w:r>
    </w:p>
    <w:p>
      <w:pPr>
        <w:spacing w:after="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1800"/>
        <w:gridCol w:w="2760"/>
      </w:tblGrid>
      <w:tr>
        <w:trPr>
          <w:tblHeader/>
        </w:trPr>
        <w:tc>
          <w:tcPr>
            <w:tcW w:type="dxa" w:w="32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Work Package / Deliverable</w:t>
            </w:r>
          </w:p>
        </w:tc>
        <w:tc>
          <w:tcPr>
            <w:tcW w:type="dxa" w:w="18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Estimated Effort (Person-Days)</w:t>
            </w:r>
          </w:p>
        </w:tc>
        <w:tc>
          <w:tcPr>
            <w:tcW w:type="dxa" w:w="18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Unit Rate (NGN/day)</w:t>
            </w:r>
          </w:p>
        </w:tc>
        <w:tc>
          <w:tcPr>
            <w:tcW w:type="dxa" w:w="180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Fixed Price (NGN)</w:t>
            </w:r>
          </w:p>
        </w:tc>
        <w:tc>
          <w:tcPr>
            <w:tcW w:type="dxa" w:w="2760"/>
            <w:tcBorders>
              <w:top w:val="single" w:color="1B4F8A" w:sz="1"/>
              <w:left w:val="single" w:color="1B4F8A" w:sz="1"/>
              <w:bottom w:val="single" w:color="1B4F8A" w:sz="1"/>
              <w:right w:val="single" w:color="1B4F8A" w:sz="1"/>
            </w:tcBorders>
            <w:shd w:fill="1B4F8A" w:val="clear"/>
            <w:tcMar>
              <w:top w:type="dxa" w:w="100"/>
              <w:left w:type="dxa" w:w="160"/>
              <w:bottom w:type="dxa" w:w="100"/>
              <w:right w:type="dxa" w:w="160"/>
            </w:tcMar>
            <w:vAlign w:val="top"/>
          </w:tcPr>
          <w:p>
            <w:r>
              <w:rPr>
                <w:rFonts w:ascii="Arial" w:cs="Arial" w:eastAsia="Arial" w:hAnsi="Arial"/>
                <w:b/>
                <w:bCs/>
                <w:color w:val="FFFFFF"/>
                <w:sz w:val="20"/>
                <w:szCs w:val="20"/>
              </w:rPr>
              <w:t xml:space="preserve">Notes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WP1 — Architecture &amp; Design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WP1.1 Technical Architecture Document</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WP1.2 OpenAPI 3.0 Specification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WP1.3 UI/UX Wireframes</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WP1.4 Environment Setup (dev/staging/prod)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WP2 — Core Platform Build</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WP2.1 Backend — All NestJS Modules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WP2.2 Event Ingestion API + Service Bus</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WP2.3 Reconciliation Engine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WP2.4 Cashflow + Alert + Compliance Engines</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WP2.5 Entra ID SSO + RBAC</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WP3 — AssetCo Integrations</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WP3.1 GroSolar Integration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WP3.2 EML Integration</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WP3.3 SSM Integration (incl. control API)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WP4 — Frontend Dashboards</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WP4.1 Portfolio Dashboard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WP4.2 AssetCo Dashboards (x3)</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WP4.3 Asset Detail View</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WP4.4 Admin Panel</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WP4.5 Reporting UI</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WP5 — Testing, UAT &amp; Go-Live</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WP5.1 Performance Testing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WP5.2 Security Testing (incl. pen test)</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WP5.3 UAT Support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WP5.4 Production Deployment</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WP5.5 Handover &amp; Training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TOTAL PROJECT FIXED PRICE (NGN)</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VAT (if applicable)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r>
        <w:trPr>
          <w:tblHeader w:val="false"/>
        </w:trPr>
        <w:tc>
          <w:tcPr>
            <w:tcW w:type="dxa" w:w="32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TOTAL INCLUDING VAT (NGN)</w:t>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1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27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Post-Go-Live Support Options</w:t>
            </w:r>
          </w:p>
        </w:tc>
        <w:tc>
          <w:tcPr>
            <w:tcW w:type="dxa" w:w="200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Monthly Retainer (NGN)</w:t>
            </w:r>
          </w:p>
        </w:tc>
        <w:tc>
          <w:tcPr>
            <w:tcW w:type="dxa" w:w="4560"/>
            <w:tcBorders>
              <w:top w:val="single" w:color="17657A" w:sz="1"/>
              <w:left w:val="single" w:color="17657A" w:sz="1"/>
              <w:bottom w:val="single" w:color="17657A" w:sz="1"/>
              <w:right w:val="single" w:color="17657A" w:sz="1"/>
            </w:tcBorders>
            <w:shd w:fill="17657A" w:val="clear"/>
            <w:tcMar>
              <w:top w:type="dxa" w:w="100"/>
              <w:left w:type="dxa" w:w="160"/>
              <w:bottom w:type="dxa" w:w="100"/>
              <w:right w:type="dxa" w:w="160"/>
            </w:tcMar>
            <w:vAlign w:val="top"/>
          </w:tcPr>
          <w:p>
            <w:r>
              <w:rPr>
                <w:rFonts w:ascii="Arial" w:cs="Arial" w:eastAsia="Arial" w:hAnsi="Arial"/>
                <w:b/>
                <w:bCs/>
                <w:color w:val="FFFFFF"/>
                <w:sz w:val="20"/>
                <w:szCs w:val="20"/>
              </w:rPr>
              <w:t xml:space="preserve">Scope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Tier 1 — Critical Bug Fix Only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Critical defect resolution only. SLA: 4 hours.</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Tier 2 — Standard Support</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Critical + High defect resolution + security patch application. SLA per defect severity table.</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Tier 3 — Full Managed Support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
            </w:r>
          </w:p>
        </w:tc>
        <w:tc>
          <w:tcPr>
            <w:tcW w:type="dxa" w:w="4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All Tier 2 + Azure infrastructure monitoring + proactive maintenance + minor feature requests.</w:t>
            </w:r>
          </w:p>
        </w:tc>
      </w:tr>
      <w:tr>
        <w:trPr>
          <w:tblHeader w:val="false"/>
        </w:trPr>
        <w:tc>
          <w:tcPr>
            <w:tcW w:type="dxa" w:w="28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Change Request Day Rate</w:t>
            </w:r>
          </w:p>
        </w:tc>
        <w:tc>
          <w:tcPr>
            <w:tcW w:type="dxa" w:w="200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N/A — per day rate</w:t>
            </w:r>
          </w:p>
        </w:tc>
        <w:tc>
          <w:tcPr>
            <w:tcW w:type="dxa" w:w="4560"/>
            <w:tcBorders>
              <w:top w:val="single" w:color="CCCCCC" w:sz="1"/>
              <w:left w:val="single" w:color="CCCCCC" w:sz="1"/>
              <w:bottom w:val="single" w:color="CCCCCC" w:sz="1"/>
              <w:right w:val="single" w:color="CCCCCC" w:sz="1"/>
            </w:tcBorders>
            <w:shd w:fill="F2F4F6" w:val="clear"/>
            <w:tcMar>
              <w:top w:type="dxa" w:w="100"/>
              <w:left w:type="dxa" w:w="160"/>
              <w:bottom w:type="dxa" w:w="100"/>
              <w:right w:type="dxa" w:w="160"/>
            </w:tcMar>
            <w:vAlign w:val="top"/>
          </w:tcPr>
          <w:p>
            <w:r>
              <w:rPr>
                <w:rFonts w:ascii="Arial" w:cs="Arial" w:eastAsia="Arial" w:hAnsi="Arial"/>
                <w:b w:val="false"/>
                <w:bCs w:val="false"/>
                <w:color w:val="1A1A2E"/>
                <w:sz w:val="20"/>
                <w:szCs w:val="20"/>
              </w:rPr>
              <w:t xml:space="preserve">Rate for out-of-scope work post-go-live.</w:t>
            </w:r>
          </w:p>
        </w:tc>
      </w:tr>
    </w:tbl>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pPr>
    <w:r>
      <w:rPr>
        <w:rFonts w:ascii="Arial" w:cs="Arial" w:eastAsia="Arial" w:hAnsi="Arial"/>
        <w:color w:val="888888"/>
        <w:sz w:val="16"/>
        <w:szCs w:val="16"/>
      </w:rPr>
      <w:t xml:space="preserve">© Clean Energy Fund (CEF)  |  RFP v1.0  |  May 2026  |  CONFIDENTIAL</w:t>
    </w:r>
    <w:r>
      <w:rPr>
        <w:rFonts w:ascii="Arial" w:cs="Arial" w:eastAsia="Arial" w:hAnsi="Arial"/>
        <w:color w:val="888888"/>
        <w:sz w:val="16"/>
        <w:szCs w:val="16"/>
      </w:rPr>
      <w:t xml:space="preserve">	Page </w:t>
    </w:r>
    <w:fldSimple w:instr="PAGE">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4"/>
      </w:pBdr>
    </w:pPr>
    <w:r>
      <w:rPr>
        <w:rFonts w:ascii="Arial" w:cs="Arial" w:eastAsia="Arial" w:hAnsi="Arial"/>
        <w:i/>
        <w:iCs/>
        <w:color w:val="888888"/>
        <w:sz w:val="16"/>
        <w:szCs w:val="16"/>
      </w:rPr>
      <w:t xml:space="preserve">REQUEST FOR PROPOSAL — CEF Portfolio Intelligence Platform (CEF-PIP)</w:t>
    </w:r>
    <w:r>
      <w:rPr>
        <w:rFonts w:ascii="Arial" w:cs="Arial" w:eastAsia="Arial" w:hAnsi="Arial"/>
        <w:b/>
        <w:bCs/>
        <w:color w:val="1B4F8A"/>
        <w:sz w:val="16"/>
        <w:szCs w:val="16"/>
      </w:rPr>
      <w:t xml:space="preserve">   |   REF: CEF-IT-2026-PIP-001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4F8A"/>
      <w:sz w:val="32"/>
      <w:szCs w:val="32"/>
    </w:rPr>
  </w:style>
  <w:style w:type="paragraph" w:styleId="Heading2">
    <w:name w:val="Heading 2"/>
    <w:basedOn w:val="Normal"/>
    <w:next w:val="Normal"/>
    <w:qFormat/>
    <w:pPr>
      <w:spacing w:after="140" w:before="300"/>
      <w:outlineLvl w:val="1"/>
    </w:pPr>
    <w:rPr>
      <w:rFonts w:ascii="Arial" w:cs="Arial" w:eastAsia="Arial" w:hAnsi="Arial"/>
      <w:b/>
      <w:bCs/>
      <w:color w:val="17657A"/>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2026-05-29T05:36:08.756Z</dcterms:created>
  <dcterms:modified xsi:type="dcterms:W3CDTF">2026-05-29T05:36:08.778Z</dcterms:modified>
</cp:coreProperties>
</file>

<file path=docProps/custom.xml><?xml version="1.0" encoding="utf-8"?>
<Properties xmlns="http://schemas.openxmlformats.org/officeDocument/2006/custom-properties" xmlns:vt="http://schemas.openxmlformats.org/officeDocument/2006/docPropsVTypes"/>
</file>