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01A2C"/>
          <w:sz w:val="68"/>
        </w:rPr>
        <w:t>IC Engagement</w:t>
      </w:r>
    </w:p>
    <w:p>
      <w:r>
        <w:rPr>
          <w:color w:val="3A4356"/>
          <w:sz w:val="26"/>
        </w:rPr>
        <w:t>How the Investment Committee's matters, meetings, votes, conditions, minutes and correspondence work inside CEF-PIP.</w:t>
      </w:r>
    </w:p>
    <w:tbl>
      <w:tblPr>
        <w:tblW w:type="auto" w:w="0"/>
        <w:jc w:val="left"/>
        <w:tblLook w:firstColumn="1" w:firstRow="1" w:lastColumn="0" w:lastRow="0" w:noHBand="0" w:noVBand="1" w:val="04A0"/>
      </w:tblPr>
      <w:tblGrid>
        <w:gridCol w:w="2160"/>
        <w:gridCol w:w="2160"/>
        <w:gridCol w:w="2160"/>
        <w:gridCol w:w="2160"/>
      </w:tblGrid>
      <w:tr>
        <w:tc>
          <w:tcPr>
            <w:tcW w:type="dxa" w:w="2160"/>
          </w:tcPr>
          <w:p>
            <w:r/>
            <w:r>
              <w:rPr>
                <w:color w:val="626C81"/>
                <w:sz w:val="16"/>
              </w:rPr>
              <w:t>PREPARED FOR</w:t>
            </w:r>
          </w:p>
          <w:p>
            <w:r>
              <w:rPr>
                <w:b/>
                <w:color w:val="3A4356"/>
                <w:sz w:val="20"/>
              </w:rPr>
              <w:t>Executive review</w:t>
            </w:r>
          </w:p>
        </w:tc>
        <w:tc>
          <w:tcPr>
            <w:tcW w:type="dxa" w:w="2160"/>
          </w:tcPr>
          <w:p>
            <w:r/>
            <w:r>
              <w:rPr>
                <w:color w:val="626C81"/>
                <w:sz w:val="16"/>
              </w:rPr>
              <w:t>COVERS</w:t>
            </w:r>
          </w:p>
          <w:p>
            <w:r>
              <w:rPr>
                <w:b/>
                <w:color w:val="3A4356"/>
                <w:sz w:val="20"/>
              </w:rPr>
              <w:t>/engagement and its sub-pages</w:t>
            </w:r>
          </w:p>
        </w:tc>
        <w:tc>
          <w:tcPr>
            <w:tcW w:type="dxa" w:w="2160"/>
          </w:tcPr>
          <w:p>
            <w:r/>
            <w:r>
              <w:rPr>
                <w:color w:val="626C81"/>
                <w:sz w:val="16"/>
              </w:rPr>
              <w:t>SCREENS CAPTURED FROM</w:t>
            </w:r>
          </w:p>
          <w:p>
            <w:r>
              <w:rPr>
                <w:b/>
                <w:color w:val="3A4356"/>
                <w:sz w:val="20"/>
              </w:rPr>
              <w:t>cef-pip-dev (staging)</w:t>
            </w:r>
          </w:p>
        </w:tc>
        <w:tc>
          <w:tcPr>
            <w:tcW w:type="dxa" w:w="2160"/>
          </w:tcPr>
          <w:p>
            <w:r/>
            <w:r>
              <w:rPr>
                <w:color w:val="626C81"/>
                <w:sz w:val="16"/>
              </w:rPr>
              <w:t>LAST VERIFIED</w:t>
            </w:r>
          </w:p>
          <w:p>
            <w:r>
              <w:rPr>
                <w:b/>
                <w:color w:val="3A4356"/>
                <w:sz w:val="20"/>
              </w:rPr>
              <w:t>7 September 2026</w:t>
            </w:r>
          </w:p>
        </w:tc>
      </w:tr>
    </w:tbl>
    <w:p/>
    <w:p>
      <w:pPr>
        <w:pStyle w:val="Heading1"/>
      </w:pPr>
      <w:r>
        <w:t>1. What it is</w:t>
      </w:r>
    </w:p>
    <w:p>
      <w:r>
        <w:t>IC Engagement is the Investment Committee's single working home inside CEF-PIP — the one place every new investment, disbursement approval, portfolio problem, exit and policy decision gets raised, discussed, voted on and recorded, alongside the meeting it was decided in and the paperwork behind it.</w:t>
      </w:r>
    </w:p>
    <w:p>
      <w:r>
        <w:t>Before this module, that trail lived across email threads, a shared SharePoint folder and someone's private notes. IC Engagement doesn't replace SharePoint as the document store — every document here is still a link into the fund's existing data room — but it gives the decision itself a permanent, auditable record: who raised it, who voted which way, whether quorum was met, what conditions followed, and what the locked minutes said.</w:t>
      </w:r>
    </w:p>
    <w:p>
      <w:pPr>
        <w:pStyle w:val="Heading1"/>
      </w:pPr>
      <w:r>
        <w:t>2. Who can open it</w:t>
      </w:r>
    </w:p>
    <w:p>
      <w:r>
        <w:t>Four roles land inside IC Engagement automatically: Management, Executive, IT Admin, and Board Committee Member.</w:t>
      </w:r>
    </w:p>
    <w:p>
      <w:r>
        <w:t>Anyone else — an analyst supporting the committee, for instance — needs to be individually flagged for IC access without changing their day-to-day role. Board Committee Member is the one role built exclusively for this module: it has no access to the main Portfolio dashboard at all, so an external board member's account can't wander into operational data it has no business seeing.</w:t>
      </w:r>
    </w:p>
    <w:p>
      <w:pPr>
        <w:ind w:left="360"/>
      </w:pPr>
      <w:r>
        <w:rPr>
          <w:i/>
          <w:color w:val="1C5AA8"/>
        </w:rPr>
        <w:t>Worth knowing: a Board Committee Member only ever sees documents CEF staff have promoted to Approved or Executed. Anything still in draft or under review is invisible to them — the platform enforces this on the server, not just by hiding a button.</w:t>
      </w:r>
    </w:p>
    <w:p>
      <w:pPr>
        <w:pStyle w:val="Heading1"/>
      </w:pPr>
      <w:r>
        <w:t>3. The front door</w:t>
      </w:r>
    </w:p>
    <w:p>
      <w:r>
        <w:t xml:space="preserve">Opening </w:t>
      </w:r>
      <w:r>
        <w:rPr>
          <w:rFonts w:ascii="Consolas" w:hAnsi="Consolas"/>
          <w:color w:val="3A4356"/>
          <w:sz w:val="19"/>
        </w:rPr>
        <w:t>/engagement</w:t>
      </w:r>
      <w:r>
        <w:t xml:space="preserve"> lands on a single triage screen: four headline numbers, then what needs attention today. Nothing here needs a click to reveal itself — it's a status check before you go anywhere else.</w:t>
      </w:r>
    </w:p>
    <w:p>
      <w:pPr>
        <w:pStyle w:val="ListBullet"/>
      </w:pPr>
      <w:r>
        <w:rPr>
          <w:b/>
          <w:color w:val="101A2C"/>
        </w:rPr>
        <w:t>Open / Under-Review Matters, Upcoming Meetings, Overdue Conditions, My Open Conditions</w:t>
      </w:r>
      <w:r>
        <w:t xml:space="preserve"> — four counters, each one click from its own list.</w:t>
      </w:r>
    </w:p>
    <w:p>
      <w:pPr>
        <w:pStyle w:val="ListBullet"/>
      </w:pPr>
      <w:r>
        <w:rPr>
          <w:b/>
          <w:color w:val="101A2C"/>
        </w:rPr>
        <w:t>Matters needing attention and the two condition lists</w:t>
      </w:r>
      <w:r>
        <w:t xml:space="preserve"> link straight into the record behind it.</w:t>
      </w:r>
    </w:p>
    <w:p>
      <w:pPr>
        <w:pStyle w:val="ListBullet"/>
      </w:pPr>
      <w:r>
        <w:rPr>
          <w:b/>
          <w:color w:val="101A2C"/>
        </w:rPr>
        <w:t>Five tiles — Matter Register, Meetings, Committee Roster, Secretariat, Email</w:t>
      </w:r>
      <w:r>
        <w:t xml:space="preserve"> are the doors into everything covered below.</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engagement.png"/>
                    <pic:cNvPicPr/>
                  </pic:nvPicPr>
                  <pic:blipFill>
                    <a:blip r:embed="rId9"/>
                    <a:stretch>
                      <a:fillRect/>
                    </a:stretch>
                  </pic:blipFill>
                  <pic:spPr>
                    <a:xfrm>
                      <a:off x="0" y="0"/>
                      <a:ext cx="5760720" cy="3600450"/>
                    </a:xfrm>
                    <a:prstGeom prst="rect"/>
                  </pic:spPr>
                </pic:pic>
              </a:graphicData>
            </a:graphic>
          </wp:inline>
        </w:drawing>
      </w:r>
    </w:p>
    <w:p>
      <w:r>
        <w:rPr>
          <w:i/>
          <w:color w:val="626C81"/>
          <w:sz w:val="19"/>
        </w:rPr>
        <w:t>The landing dashboard — logged in as management@fundco.ng, dev environment.</w:t>
      </w:r>
    </w:p>
    <w:p>
      <w:pPr>
        <w:pStyle w:val="Heading1"/>
      </w:pPr>
      <w:r>
        <w:t>4. Matter Register</w:t>
      </w:r>
    </w:p>
    <w:p>
      <w:r>
        <w:rPr>
          <w:rFonts w:ascii="Consolas" w:hAnsi="Consolas"/>
          <w:color w:val="3A4356"/>
          <w:sz w:val="19"/>
        </w:rPr>
        <w:t>/engagement/matters</w:t>
      </w:r>
    </w:p>
    <w:p>
      <w:r>
        <w:t>Every matter the IC has ever touched, in one filterable list — new investments, disbursements, portfolio management, problem assets, exits and policy changes each get their own category. A colored status badge (Open, Under Review, Scheduled, Decided, Closed, Withdrawn) shows where each one stands at a glance, and New Matter opens an inline form to raise the next one — category, decision type, title, the AssetCo it concerns, and a description.</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engagement-matters.png"/>
                    <pic:cNvPicPr/>
                  </pic:nvPicPr>
                  <pic:blipFill>
                    <a:blip r:embed="rId10"/>
                    <a:stretch>
                      <a:fillRect/>
                    </a:stretch>
                  </pic:blipFill>
                  <pic:spPr>
                    <a:xfrm>
                      <a:off x="0" y="0"/>
                      <a:ext cx="5760720" cy="3600450"/>
                    </a:xfrm>
                    <a:prstGeom prst="rect"/>
                  </pic:spPr>
                </pic:pic>
              </a:graphicData>
            </a:graphic>
          </wp:inline>
        </w:drawing>
      </w:r>
    </w:p>
    <w:p>
      <w:r>
        <w:rPr>
          <w:i/>
          <w:color w:val="626C81"/>
          <w:sz w:val="19"/>
        </w:rPr>
        <w:t>Five live matters in the dev environment — two already Decided, three still Open.</w:t>
      </w:r>
    </w:p>
    <w:p>
      <w:pPr>
        <w:pStyle w:val="Heading1"/>
      </w:pPr>
      <w:r>
        <w:t>5. Inside a matter</w:t>
      </w:r>
    </w:p>
    <w:p>
      <w:r>
        <w:t>Click through and everything about that one matter sits on a single page, stacked in the order the committee actually works through it:</w:t>
      </w:r>
    </w:p>
    <w:p>
      <w:pPr>
        <w:pStyle w:val="ListBullet"/>
      </w:pPr>
      <w:r>
        <w:rPr>
          <w:b/>
          <w:color w:val="101A2C"/>
        </w:rPr>
        <w:t>Status, Delegated Authority &amp; Trustee No-Objection</w:t>
      </w:r>
      <w:r>
        <w:t xml:space="preserve"> — the matter's own status plus two independent trackers recording where an external sign-off stands (Not Required → Pending → Granted / Received).</w:t>
      </w:r>
    </w:p>
    <w:p>
      <w:pPr>
        <w:pStyle w:val="ListBullet"/>
      </w:pPr>
      <w:r>
        <w:rPr>
          <w:b/>
          <w:color w:val="101A2C"/>
        </w:rPr>
        <w:t>Conditions &amp; Actions</w:t>
      </w:r>
      <w:r>
        <w:t xml:space="preserve"> — covenants, drawdown conditions and management actions that follow a decision, each with an owner, a due date and a status running from Open through to Satisfied, Waived or Breached.</w:t>
      </w:r>
    </w:p>
    <w:p>
      <w:pPr>
        <w:pStyle w:val="ListBullet"/>
      </w:pPr>
      <w:r>
        <w:rPr>
          <w:b/>
          <w:color w:val="101A2C"/>
        </w:rPr>
        <w:t>Documents</w:t>
      </w:r>
      <w:r>
        <w:t xml:space="preserve"> — reference links into the fund's SharePoint data room (title, classification, URL — no files are ever uploaded into CEF-PIP itself), each carrying its own approval status and an “I've uploaded this and it's shared” confirmation, separate from just editing the record.</w:t>
      </w:r>
    </w:p>
    <w:p>
      <w:pPr>
        <w:pStyle w:val="ListBullet"/>
      </w:pPr>
      <w:r>
        <w:rPr>
          <w:b/>
          <w:color w:val="101A2C"/>
        </w:rPr>
        <w:t>Questions &amp; Comments</w:t>
      </w:r>
      <w:r>
        <w:t xml:space="preserve"> — a running pre-meeting thread; posting one notifies the matter's owner and deal lead directly, so debate can start before anyone's in the room.</w:t>
      </w:r>
    </w:p>
    <w:p>
      <w:pPr>
        <w:pStyle w:val="ListBullet"/>
      </w:pPr>
      <w:r>
        <w:rPr>
          <w:b/>
          <w:color w:val="101A2C"/>
        </w:rPr>
        <w:t>Compose Email</w:t>
      </w:r>
      <w:r>
        <w:t xml:space="preserve"> — correspondence scoped to this matter, sent through the fund's own domain.</w:t>
      </w:r>
    </w:p>
    <w:p>
      <w:pPr>
        <w:jc w:val="center"/>
      </w:pPr>
      <w:r>
        <w:drawing>
          <wp:inline xmlns:a="http://schemas.openxmlformats.org/drawingml/2006/main" xmlns:pic="http://schemas.openxmlformats.org/drawingml/2006/picture">
            <wp:extent cx="5760720" cy="6368796"/>
            <wp:docPr id="3" name="Picture 3"/>
            <wp:cNvGraphicFramePr>
              <a:graphicFrameLocks noChangeAspect="1"/>
            </wp:cNvGraphicFramePr>
            <a:graphic>
              <a:graphicData uri="http://schemas.openxmlformats.org/drawingml/2006/picture">
                <pic:pic>
                  <pic:nvPicPr>
                    <pic:cNvPr id="0" name="engagement-matter-hnl-detail.png"/>
                    <pic:cNvPicPr/>
                  </pic:nvPicPr>
                  <pic:blipFill>
                    <a:blip r:embed="rId11"/>
                    <a:stretch>
                      <a:fillRect/>
                    </a:stretch>
                  </pic:blipFill>
                  <pic:spPr>
                    <a:xfrm>
                      <a:off x="0" y="0"/>
                      <a:ext cx="5760720" cy="6368796"/>
                    </a:xfrm>
                    <a:prstGeom prst="rect"/>
                  </pic:spPr>
                </pic:pic>
              </a:graphicData>
            </a:graphic>
          </wp:inline>
        </w:drawing>
      </w:r>
    </w:p>
    <w:p>
      <w:r>
        <w:rPr>
          <w:i/>
          <w:color w:val="626C81"/>
          <w:sz w:val="19"/>
        </w:rPr>
        <w:t>A Decided matter carrying two open conditions and one document awaiting further review.</w:t>
      </w:r>
    </w:p>
    <w:p>
      <w:pPr>
        <w:pStyle w:val="Heading1"/>
      </w:pPr>
      <w:r>
        <w:t>6. Meetings, votes &amp; minutes</w:t>
      </w:r>
    </w:p>
    <w:p>
      <w:r>
        <w:rPr>
          <w:rFonts w:ascii="Consolas" w:hAnsi="Consolas"/>
          <w:color w:val="3A4356"/>
          <w:sz w:val="19"/>
        </w:rPr>
        <w:t>/engagement/meetings</w:t>
      </w:r>
    </w:p>
    <w:p>
      <w:r>
        <w:t>Scheduling a meeting pre-fills the recurring Teams link and lets any open matter be added to the agenda. Expanding an agenda item reveals the vote itself: live tally, quorum, and — once recorded — the outcome.</w:t>
      </w:r>
    </w:p>
    <w:p>
      <w:pPr>
        <w:pStyle w:val="ListBullet"/>
      </w:pPr>
      <w:r>
        <w:rPr>
          <w:b/>
          <w:color w:val="101A2C"/>
        </w:rPr>
        <w:t>Quorum</w:t>
      </w:r>
      <w:r>
        <w:t xml:space="preserve"> is computed live from the active roster (a majority, minus anyone recused) and shown before a vote is even cast.</w:t>
      </w:r>
    </w:p>
    <w:p>
      <w:pPr>
        <w:pStyle w:val="ListBullet"/>
      </w:pPr>
      <w:r>
        <w:rPr>
          <w:b/>
          <w:color w:val="101A2C"/>
        </w:rPr>
        <w:t>Members vote Approve / Reject / Abstain</w:t>
      </w:r>
      <w:r>
        <w:t>, or declare a conflict — which recuses them immediately and withdraws any vote they'd already cast.</w:t>
      </w:r>
    </w:p>
    <w:p>
      <w:pPr>
        <w:pStyle w:val="ListBullet"/>
      </w:pPr>
      <w:r>
        <w:rPr>
          <w:b/>
          <w:color w:val="101A2C"/>
        </w:rPr>
        <w:t>The Chair, Secretary, or a management-level user records the final decision</w:t>
      </w:r>
      <w:r>
        <w:t xml:space="preserve"> (Approved, Approved with Conditions, Deferred, Declined, Noted, and seven other outcomes) — once recorded, it's final, and the matter's own status updates automatically.</w:t>
      </w:r>
    </w:p>
    <w:p>
      <w:pPr>
        <w:pStyle w:val="ListBullet"/>
      </w:pPr>
      <w:r>
        <w:rPr>
          <w:b/>
          <w:color w:val="101A2C"/>
        </w:rPr>
        <w:t>Minutes</w:t>
      </w:r>
      <w:r>
        <w:t xml:space="preserve"> live at the foot of every meeting: drafted, sent for review, then locked — a one-way action with no unlock, anywhere.</w:t>
      </w:r>
    </w:p>
    <w:p>
      <w:pPr>
        <w:jc w:val="center"/>
      </w:pPr>
      <w:r>
        <w:drawing>
          <wp:inline xmlns:a="http://schemas.openxmlformats.org/drawingml/2006/main" xmlns:pic="http://schemas.openxmlformats.org/drawingml/2006/picture">
            <wp:extent cx="5760720" cy="4000500"/>
            <wp:docPr id="4" name="Picture 4"/>
            <wp:cNvGraphicFramePr>
              <a:graphicFrameLocks noChangeAspect="1"/>
            </wp:cNvGraphicFramePr>
            <a:graphic>
              <a:graphicData uri="http://schemas.openxmlformats.org/drawingml/2006/picture">
                <pic:pic>
                  <pic:nvPicPr>
                    <pic:cNvPr id="0" name="engagement-meeting-completed-voting-expanded.png"/>
                    <pic:cNvPicPr/>
                  </pic:nvPicPr>
                  <pic:blipFill>
                    <a:blip r:embed="rId12"/>
                    <a:stretch>
                      <a:fillRect/>
                    </a:stretch>
                  </pic:blipFill>
                  <pic:spPr>
                    <a:xfrm>
                      <a:off x="0" y="0"/>
                      <a:ext cx="5760720" cy="4000500"/>
                    </a:xfrm>
                    <a:prstGeom prst="rect"/>
                  </pic:spPr>
                </pic:pic>
              </a:graphicData>
            </a:graphic>
          </wp:inline>
        </w:drawing>
      </w:r>
    </w:p>
    <w:p>
      <w:r>
        <w:rPr>
          <w:i/>
          <w:color w:val="626C81"/>
          <w:sz w:val="19"/>
        </w:rPr>
        <w:t>A completed meeting: 5 for / 0 against, quorum met, decision recorded as Noted — and minutes already locked.</w:t>
      </w:r>
    </w:p>
    <w:p>
      <w:pPr>
        <w:pStyle w:val="Heading1"/>
      </w:pPr>
      <w:r>
        <w:t>7. Committee Roster</w:t>
      </w:r>
    </w:p>
    <w:p>
      <w:r>
        <w:rPr>
          <w:rFonts w:ascii="Consolas" w:hAnsi="Consolas"/>
          <w:color w:val="3A4356"/>
          <w:sz w:val="19"/>
        </w:rPr>
        <w:t>/engagement/committee</w:t>
      </w:r>
    </w:p>
    <w:p>
      <w:r>
        <w:t>Who currently sits on the IC, who chairs it, and who acts as secretary. Membership isn't fixed by a contract term in the system — management, executive, IT admin, or the sitting secretary can add, remove, or re-flag Chair/Secretary at any time.</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engagement-committee.png"/>
                    <pic:cNvPicPr/>
                  </pic:nvPicPr>
                  <pic:blipFill>
                    <a:blip r:embed="rId13"/>
                    <a:stretch>
                      <a:fillRect/>
                    </a:stretch>
                  </pic:blipFill>
                  <pic:spPr>
                    <a:xfrm>
                      <a:off x="0" y="0"/>
                      <a:ext cx="5760720" cy="3600450"/>
                    </a:xfrm>
                    <a:prstGeom prst="rect"/>
                  </pic:spPr>
                </pic:pic>
              </a:graphicData>
            </a:graphic>
          </wp:inline>
        </w:drawing>
      </w:r>
    </w:p>
    <w:p>
      <w:r>
        <w:rPr>
          <w:i/>
          <w:color w:val="626C81"/>
          <w:sz w:val="19"/>
        </w:rPr>
        <w:t>A five-person roster with Chair and Secretary flagged.</w:t>
      </w:r>
    </w:p>
    <w:p>
      <w:pPr>
        <w:pStyle w:val="Heading1"/>
      </w:pPr>
      <w:r>
        <w:t>8. Secretariat view</w:t>
      </w:r>
    </w:p>
    <w:p>
      <w:r>
        <w:rPr>
          <w:rFonts w:ascii="Consolas" w:hAnsi="Consolas"/>
          <w:color w:val="3A4356"/>
          <w:sz w:val="19"/>
        </w:rPr>
        <w:t>/engagement/secretariat</w:t>
      </w:r>
    </w:p>
    <w:p>
      <w:r>
        <w:t>Built for whoever runs meeting logistics day to day: an amber banner surfaces any completed meeting still waiting on locked minutes, every open condition across the entire register (not just one person's), and a side-by-side view of every meeting's status against its minutes' status — so a finished meeting with still-draft minutes doesn't quietly slip through.</w:t>
      </w:r>
    </w:p>
    <w:p>
      <w:pPr>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engagement-secretariat.png"/>
                    <pic:cNvPicPr/>
                  </pic:nvPicPr>
                  <pic:blipFill>
                    <a:blip r:embed="rId14"/>
                    <a:stretch>
                      <a:fillRect/>
                    </a:stretch>
                  </pic:blipFill>
                  <pic:spPr>
                    <a:xfrm>
                      <a:off x="0" y="0"/>
                      <a:ext cx="5760720" cy="3600450"/>
                    </a:xfrm>
                    <a:prstGeom prst="rect"/>
                  </pic:spPr>
                </pic:pic>
              </a:graphicData>
            </a:graphic>
          </wp:inline>
        </w:drawing>
      </w:r>
    </w:p>
    <w:p>
      <w:r>
        <w:rPr>
          <w:i/>
          <w:color w:val="626C81"/>
          <w:sz w:val="19"/>
        </w:rPr>
        <w:t>Two overdue conditions flagged in red; the upcoming meeting's minutes still show Draft.</w:t>
      </w:r>
    </w:p>
    <w:p>
      <w:pPr>
        <w:pStyle w:val="Heading1"/>
      </w:pPr>
      <w:r>
        <w:t>9. Governance safeguards</w:t>
      </w:r>
    </w:p>
    <w:p>
      <w:r>
        <w:t>The features above exist to run meetings; these are the rules underneath them that make the record defensible — each one enforced by the server, not just hidden in the interface.</w:t>
      </w:r>
    </w:p>
    <w:tbl>
      <w:tblPr>
        <w:tblW w:type="auto" w:w="0"/>
        <w:tblLayout w:type="autofit"/>
        <w:tblLook w:firstColumn="1" w:firstRow="1" w:lastColumn="0" w:lastRow="0" w:noHBand="0" w:noVBand="1" w:val="04A0"/>
      </w:tblPr>
      <w:tblGrid>
        <w:gridCol w:w="4320"/>
        <w:gridCol w:w="4320"/>
      </w:tblGrid>
      <w:tr>
        <w:tc>
          <w:tcPr>
            <w:tcW w:type="dxa" w:w="4320"/>
            <w:shd w:val="clear" w:color="auto" w:fill="F3F5F8"/>
          </w:tcPr>
          <w:p>
            <w:r>
              <w:rPr>
                <w:b/>
                <w:color w:val="101A2C"/>
                <w:sz w:val="21"/>
              </w:rPr>
              <w:t>Document approval gate</w:t>
            </w:r>
          </w:p>
          <w:p>
            <w:r>
              <w:rPr>
                <w:color w:val="626C81"/>
                <w:sz w:val="19"/>
              </w:rPr>
              <w:t>Board members see only Approved/Executed documents — draft material isn't just hidden, it 404s if requested directly.</w:t>
            </w:r>
          </w:p>
        </w:tc>
        <w:tc>
          <w:tcPr>
            <w:tcW w:type="dxa" w:w="4320"/>
            <w:shd w:val="clear" w:color="auto" w:fill="F3F5F8"/>
          </w:tcPr>
          <w:p>
            <w:r>
              <w:rPr>
                <w:b/>
                <w:color w:val="101A2C"/>
                <w:sz w:val="21"/>
              </w:rPr>
              <w:t>Conflict = automatic recusal</w:t>
            </w:r>
          </w:p>
          <w:p>
            <w:r>
              <w:rPr>
                <w:color w:val="626C81"/>
                <w:sz w:val="19"/>
              </w:rPr>
              <w:t>Declaring a conflict withdraws any vote already cast and blocks that member from voting again on the same matter.</w:t>
            </w:r>
          </w:p>
        </w:tc>
      </w:tr>
      <w:tr>
        <w:tc>
          <w:tcPr>
            <w:tcW w:type="dxa" w:w="4320"/>
            <w:shd w:val="clear" w:color="auto" w:fill="F3F5F8"/>
          </w:tcPr>
          <w:p>
            <w:r>
              <w:rPr>
                <w:b/>
                <w:color w:val="101A2C"/>
                <w:sz w:val="21"/>
              </w:rPr>
              <w:t>One decision per matter</w:t>
            </w:r>
          </w:p>
          <w:p>
            <w:r>
              <w:rPr>
                <w:color w:val="626C81"/>
                <w:sz w:val="19"/>
              </w:rPr>
              <w:t>Recording a decision is final for that matter/meeting pair — the matter's status flips to Decided or Withdrawn automatically.</w:t>
            </w:r>
          </w:p>
        </w:tc>
        <w:tc>
          <w:tcPr>
            <w:tcW w:type="dxa" w:w="4320"/>
            <w:shd w:val="clear" w:color="auto" w:fill="F3F5F8"/>
          </w:tcPr>
          <w:p>
            <w:r>
              <w:rPr>
                <w:b/>
                <w:color w:val="101A2C"/>
                <w:sz w:val="21"/>
              </w:rPr>
              <w:t>Minutes lock one way</w:t>
            </w:r>
          </w:p>
          <w:p>
            <w:r>
              <w:rPr>
                <w:color w:val="626C81"/>
                <w:sz w:val="19"/>
              </w:rPr>
              <w:t>There's no unlock action anywhere in the system — once locked, the edit controls are removed from the page entirely.</w:t>
            </w:r>
          </w:p>
        </w:tc>
      </w:tr>
      <w:tr>
        <w:tc>
          <w:tcPr>
            <w:tcW w:type="dxa" w:w="4320"/>
            <w:shd w:val="clear" w:color="auto" w:fill="F3F5F8"/>
          </w:tcPr>
          <w:p>
            <w:r>
              <w:rPr>
                <w:b/>
                <w:color w:val="101A2C"/>
                <w:sz w:val="21"/>
              </w:rPr>
              <w:t>Reply-to follows the sender</w:t>
            </w:r>
          </w:p>
          <w:p>
            <w:r>
              <w:rPr>
                <w:color w:val="626C81"/>
                <w:sz w:val="19"/>
              </w:rPr>
              <w:t>Every email sent through the portal auto-CCs the sender and sets them as reply-to, so replies never land in a shared inbox.</w:t>
            </w:r>
          </w:p>
        </w:tc>
        <w:tc>
          <w:tcPr>
            <w:tcW w:type="dxa" w:w="4320"/>
            <w:shd w:val="clear" w:color="auto" w:fill="F3F5F8"/>
          </w:tcPr>
          <w:p>
            <w:r>
              <w:rPr>
                <w:b/>
                <w:color w:val="101A2C"/>
                <w:sz w:val="21"/>
              </w:rPr>
              <w:t>Role confinement, both ways</w:t>
            </w:r>
          </w:p>
          <w:p>
            <w:r>
              <w:rPr>
                <w:color w:val="626C81"/>
                <w:sz w:val="19"/>
              </w:rPr>
              <w:t>Board members are boxed into /engagement only; everyone else keeps their normal Portfolio dashboard access alongside it.</w:t>
            </w:r>
          </w:p>
        </w:tc>
      </w:tr>
    </w:tbl>
    <w:p/>
    <w:p>
      <w:r>
        <w:rPr>
          <w:i/>
          <w:color w:val="626C81"/>
          <w:sz w:val="19"/>
        </w:rPr>
        <w:t xml:space="preserve">Separately, </w:t>
      </w:r>
      <w:r>
        <w:rPr>
          <w:rFonts w:ascii="Consolas" w:hAnsi="Consolas"/>
          <w:color w:val="3A4356"/>
          <w:sz w:val="19"/>
        </w:rPr>
        <w:t>/dashboard/approvals</w:t>
      </w:r>
      <w:r>
        <w:rPr>
          <w:i/>
          <w:color w:val="626C81"/>
          <w:sz w:val="19"/>
        </w:rPr>
        <w:t xml:space="preserve"> is a CEF Series change-approval workflow for Finance/Risk submissions — a related audit-trail feature, but not part of IC Engagement and not covered here.</w:t>
      </w:r>
    </w:p>
    <w:p/>
    <w:p>
      <w:r>
        <w:rPr>
          <w:color w:val="626C81"/>
          <w:sz w:val="17"/>
        </w:rPr>
        <w:t>IC Engagement — CEF-PIP  ·  Screens captured live from the dev/staging environment, 7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A43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01A2C"/>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01A2C"/>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01A2C"/>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