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1B7F9">
      <w:pPr>
        <w:pStyle w:val="6"/>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{{FundName}}</w:t>
      </w:r>
    </w:p>
    <w:p w14:paraId="3E757266">
      <w:pPr>
        <w:pStyle w:val="6"/>
        <w:rPr>
          <w:rFonts w:hint="eastAsia" w:ascii="仿宋" w:hAnsi="仿宋" w:eastAsia="仿宋" w:cs="仿宋"/>
          <w:sz w:val="36"/>
          <w:szCs w:val="36"/>
        </w:rPr>
      </w:pPr>
      <w:r>
        <w:rPr>
          <w:rFonts w:hint="eastAsia" w:ascii="仿宋" w:hAnsi="仿宋" w:eastAsia="仿宋" w:cs="仿宋"/>
          <w:sz w:val="36"/>
          <w:szCs w:val="36"/>
        </w:rPr>
        <w:t>分红公告</w:t>
      </w:r>
    </w:p>
    <w:p w14:paraId="5BD634C4">
      <w:pPr>
        <w:spacing w:line="360" w:lineRule="auto"/>
        <w:rPr>
          <w:rFonts w:hint="eastAsia" w:ascii="仿宋" w:hAnsi="仿宋" w:eastAsia="仿宋" w:cs="仿宋"/>
          <w:sz w:val="21"/>
          <w:szCs w:val="21"/>
          <w:lang w:val="en-US" w:eastAsia="zh-CN"/>
        </w:rPr>
      </w:pPr>
    </w:p>
    <w:tbl>
      <w:tblPr>
        <w:tblStyle w:val="8"/>
        <w:tblW w:w="9487"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40"/>
        <w:gridCol w:w="6747"/>
      </w:tblGrid>
      <w:tr w14:paraId="7BC228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6D0149EA">
            <w:pPr>
              <w:spacing w:line="360" w:lineRule="auto"/>
              <w:rPr>
                <w:rFonts w:hint="eastAsia" w:ascii="仿宋" w:hAnsi="仿宋" w:eastAsia="仿宋" w:cs="仿宋"/>
                <w:sz w:val="21"/>
                <w:szCs w:val="21"/>
              </w:rPr>
            </w:pPr>
            <w:r>
              <w:rPr>
                <w:rFonts w:hint="eastAsia" w:ascii="仿宋" w:hAnsi="仿宋" w:eastAsia="仿宋" w:cs="仿宋"/>
                <w:sz w:val="21"/>
                <w:szCs w:val="21"/>
              </w:rPr>
              <w:t>基金名称</w:t>
            </w:r>
          </w:p>
        </w:tc>
        <w:tc>
          <w:tcPr>
            <w:tcW w:w="6747" w:type="dxa"/>
          </w:tcPr>
          <w:p w14:paraId="38D2244B">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{{FundName}}</w:t>
            </w:r>
          </w:p>
        </w:tc>
      </w:tr>
      <w:tr w14:paraId="03A471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46021435">
            <w:pPr>
              <w:spacing w:line="360" w:lineRule="auto"/>
              <w:rPr>
                <w:rFonts w:hint="eastAsia" w:ascii="仿宋" w:hAnsi="仿宋" w:eastAsia="仿宋" w:cs="仿宋"/>
                <w:sz w:val="21"/>
                <w:szCs w:val="21"/>
              </w:rPr>
            </w:pPr>
            <w:r>
              <w:rPr>
                <w:rFonts w:hint="eastAsia" w:ascii="仿宋" w:hAnsi="仿宋" w:eastAsia="仿宋" w:cs="仿宋"/>
                <w:sz w:val="21"/>
                <w:szCs w:val="21"/>
              </w:rPr>
              <w:t>基金管理人名称</w:t>
            </w:r>
          </w:p>
        </w:tc>
        <w:tc>
          <w:tcPr>
            <w:tcW w:w="6747" w:type="dxa"/>
          </w:tcPr>
          <w:p w14:paraId="42B4386C">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{{ManagerName}}</w:t>
            </w:r>
          </w:p>
        </w:tc>
      </w:tr>
      <w:tr w14:paraId="0BE300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02C8C648">
            <w:pPr>
              <w:spacing w:line="360" w:lineRule="auto"/>
              <w:rPr>
                <w:rFonts w:hint="eastAsia" w:ascii="仿宋" w:hAnsi="仿宋" w:eastAsia="仿宋" w:cs="仿宋"/>
                <w:sz w:val="21"/>
                <w:szCs w:val="21"/>
              </w:rPr>
            </w:pPr>
            <w:r>
              <w:rPr>
                <w:rFonts w:hint="eastAsia" w:ascii="仿宋" w:hAnsi="仿宋" w:eastAsia="仿宋" w:cs="仿宋"/>
                <w:sz w:val="21"/>
                <w:szCs w:val="21"/>
              </w:rPr>
              <w:t>基金代码</w:t>
            </w:r>
          </w:p>
        </w:tc>
        <w:tc>
          <w:tcPr>
            <w:tcW w:w="6747" w:type="dxa"/>
          </w:tcPr>
          <w:p w14:paraId="7E0B1F5A">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{{FundCode}}</w:t>
            </w:r>
          </w:p>
        </w:tc>
      </w:tr>
      <w:tr w14:paraId="666C98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06EB5B26">
            <w:pPr>
              <w:spacing w:line="360" w:lineRule="auto"/>
              <w:rPr>
                <w:rFonts w:hint="eastAsia" w:ascii="仿宋" w:hAnsi="仿宋" w:eastAsia="仿宋" w:cs="仿宋"/>
                <w:sz w:val="21"/>
                <w:szCs w:val="21"/>
              </w:rPr>
            </w:pPr>
            <w:r>
              <w:rPr>
                <w:rFonts w:hint="eastAsia" w:ascii="仿宋" w:hAnsi="仿宋" w:eastAsia="仿宋" w:cs="仿宋"/>
                <w:sz w:val="21"/>
                <w:szCs w:val="21"/>
              </w:rPr>
              <w:t>基金托管人名称</w:t>
            </w:r>
          </w:p>
        </w:tc>
        <w:tc>
          <w:tcPr>
            <w:tcW w:w="6747" w:type="dxa"/>
          </w:tcPr>
          <w:p w14:paraId="44365174">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{{FundTrustee}}</w:t>
            </w:r>
          </w:p>
        </w:tc>
      </w:tr>
      <w:tr w14:paraId="51C2DA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1383ADAF">
            <w:pPr>
              <w:spacing w:line="360" w:lineRule="auto"/>
              <w:rPr>
                <w:rFonts w:hint="eastAsia" w:ascii="仿宋" w:hAnsi="仿宋" w:eastAsia="仿宋" w:cs="仿宋"/>
                <w:sz w:val="21"/>
                <w:szCs w:val="21"/>
              </w:rPr>
            </w:pPr>
            <w:r>
              <w:rPr>
                <w:rFonts w:hint="eastAsia" w:ascii="仿宋" w:hAnsi="仿宋" w:eastAsia="仿宋" w:cs="仿宋"/>
                <w:sz w:val="21"/>
                <w:szCs w:val="21"/>
              </w:rPr>
              <w:t>收益分配基准日</w:t>
            </w:r>
          </w:p>
        </w:tc>
        <w:tc>
          <w:tcPr>
            <w:tcW w:w="6747" w:type="dxa"/>
          </w:tcPr>
          <w:p w14:paraId="7A07EC4A">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{{DividendReferenceDate}}</w:t>
            </w:r>
          </w:p>
        </w:tc>
      </w:tr>
      <w:tr w14:paraId="3E2D96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167F2E04">
            <w:pPr>
              <w:spacing w:line="360" w:lineRule="auto"/>
              <w:rPr>
                <w:rFonts w:hint="eastAsia" w:ascii="仿宋" w:hAnsi="仿宋" w:eastAsia="仿宋" w:cs="仿宋"/>
                <w:sz w:val="21"/>
                <w:szCs w:val="21"/>
              </w:rPr>
            </w:pPr>
            <w:r>
              <w:rPr>
                <w:rFonts w:hint="eastAsia" w:ascii="仿宋" w:hAnsi="仿宋" w:eastAsia="仿宋" w:cs="仿宋"/>
                <w:sz w:val="21"/>
                <w:szCs w:val="21"/>
              </w:rPr>
              <w:t>本次分红模式</w:t>
            </w:r>
          </w:p>
        </w:tc>
        <w:tc>
          <w:tcPr>
            <w:tcW w:w="6747" w:type="dxa"/>
          </w:tcPr>
          <w:p w14:paraId="53A97587">
            <w:pPr>
              <w:spacing w:line="360" w:lineRule="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按单位净值归目标净值分红</w:t>
            </w:r>
          </w:p>
        </w:tc>
      </w:tr>
      <w:tr w14:paraId="256B89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5A913773">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{{ModeTarget}}</w:t>
            </w:r>
          </w:p>
        </w:tc>
        <w:tc>
          <w:tcPr>
            <w:tcW w:w="6747" w:type="dxa"/>
          </w:tcPr>
          <w:p w14:paraId="2502E204">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{{TargetValue}}</w:t>
            </w:r>
          </w:p>
        </w:tc>
      </w:tr>
      <w:tr w14:paraId="2048C6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2D48239B">
            <w:pPr>
              <w:spacing w:line="360" w:lineRule="auto"/>
              <w:rPr>
                <w:rFonts w:hint="eastAsia" w:ascii="仿宋" w:hAnsi="仿宋" w:eastAsia="仿宋" w:cs="仿宋"/>
                <w:sz w:val="21"/>
                <w:szCs w:val="21"/>
              </w:rPr>
            </w:pPr>
            <w:r>
              <w:rPr>
                <w:rFonts w:hint="eastAsia" w:ascii="仿宋" w:hAnsi="仿宋" w:eastAsia="仿宋" w:cs="仿宋"/>
                <w:sz w:val="21"/>
                <w:szCs w:val="21"/>
              </w:rPr>
              <w:t>权益登记日（R日）</w:t>
            </w:r>
          </w:p>
        </w:tc>
        <w:tc>
          <w:tcPr>
            <w:tcW w:w="6747" w:type="dxa"/>
          </w:tcPr>
          <w:p w14:paraId="3BB18DEA">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{{RecordDate}}</w:t>
            </w:r>
          </w:p>
        </w:tc>
      </w:tr>
      <w:tr w14:paraId="60C135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7BB6329A">
            <w:pPr>
              <w:spacing w:line="360" w:lineRule="auto"/>
              <w:rPr>
                <w:rFonts w:hint="eastAsia" w:ascii="仿宋" w:hAnsi="仿宋" w:eastAsia="仿宋" w:cs="仿宋"/>
                <w:sz w:val="21"/>
                <w:szCs w:val="21"/>
              </w:rPr>
            </w:pPr>
            <w:r>
              <w:rPr>
                <w:rFonts w:hint="eastAsia" w:ascii="仿宋" w:hAnsi="仿宋" w:eastAsia="仿宋" w:cs="仿宋"/>
                <w:sz w:val="21"/>
                <w:szCs w:val="21"/>
              </w:rPr>
              <w:t>除息日（R日）</w:t>
            </w:r>
          </w:p>
        </w:tc>
        <w:tc>
          <w:tcPr>
            <w:tcW w:w="6747" w:type="dxa"/>
          </w:tcPr>
          <w:p w14:paraId="7EEDEC6C">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{{ExDividendDate}}</w:t>
            </w:r>
          </w:p>
        </w:tc>
      </w:tr>
      <w:tr w14:paraId="634824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6" w:hRule="atLeast"/>
        </w:trPr>
        <w:tc>
          <w:tcPr>
            <w:tcW w:w="2740" w:type="dxa"/>
          </w:tcPr>
          <w:p w14:paraId="138340FC">
            <w:pPr>
              <w:spacing w:line="360" w:lineRule="auto"/>
              <w:rPr>
                <w:rFonts w:hint="eastAsia" w:ascii="仿宋" w:hAnsi="仿宋" w:eastAsia="仿宋" w:cs="仿宋"/>
                <w:sz w:val="21"/>
                <w:szCs w:val="21"/>
              </w:rPr>
            </w:pPr>
            <w:r>
              <w:rPr>
                <w:rFonts w:hint="eastAsia" w:ascii="仿宋" w:hAnsi="仿宋" w:eastAsia="仿宋" w:cs="仿宋"/>
                <w:sz w:val="21"/>
                <w:szCs w:val="21"/>
              </w:rPr>
              <w:t>现金红利发放日（R+</w:t>
            </w:r>
            <w:r>
              <w:rPr>
                <w:rFonts w:hint="eastAsia" w:ascii="仿宋" w:hAnsi="仿宋" w:eastAsia="仿宋" w:cs="仿宋"/>
                <w:sz w:val="21"/>
                <w:szCs w:val="21"/>
                <w:lang w:val="en-US" w:eastAsia="zh-CN"/>
              </w:rPr>
              <w:t>1</w:t>
            </w:r>
            <w:r>
              <w:rPr>
                <w:rFonts w:hint="eastAsia" w:ascii="仿宋" w:hAnsi="仿宋" w:eastAsia="仿宋" w:cs="仿宋"/>
                <w:sz w:val="21"/>
                <w:szCs w:val="21"/>
              </w:rPr>
              <w:t>日）</w:t>
            </w:r>
          </w:p>
        </w:tc>
        <w:tc>
          <w:tcPr>
            <w:tcW w:w="6747" w:type="dxa"/>
          </w:tcPr>
          <w:p w14:paraId="34385CC5">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{{CashPaymentDate}}</w:t>
            </w:r>
          </w:p>
        </w:tc>
      </w:tr>
      <w:tr w14:paraId="66D68D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2" w:hRule="atLeast"/>
        </w:trPr>
        <w:tc>
          <w:tcPr>
            <w:tcW w:w="2740" w:type="dxa"/>
          </w:tcPr>
          <w:p w14:paraId="1974B181">
            <w:pPr>
              <w:spacing w:line="360" w:lineRule="auto"/>
              <w:rPr>
                <w:rFonts w:hint="eastAsia" w:ascii="仿宋" w:hAnsi="仿宋" w:eastAsia="仿宋" w:cs="仿宋"/>
                <w:sz w:val="21"/>
                <w:szCs w:val="21"/>
              </w:rPr>
            </w:pPr>
            <w:r>
              <w:rPr>
                <w:rFonts w:hint="eastAsia" w:ascii="仿宋" w:hAnsi="仿宋" w:eastAsia="仿宋" w:cs="仿宋"/>
                <w:sz w:val="21"/>
                <w:szCs w:val="21"/>
              </w:rPr>
              <w:t>分红对象</w:t>
            </w:r>
          </w:p>
        </w:tc>
        <w:tc>
          <w:tcPr>
            <w:tcW w:w="6747" w:type="dxa"/>
          </w:tcPr>
          <w:p w14:paraId="74FBB71E">
            <w:pPr>
              <w:spacing w:line="360" w:lineRule="auto"/>
              <w:rPr>
                <w:rFonts w:hint="eastAsia" w:ascii="仿宋" w:hAnsi="仿宋" w:eastAsia="仿宋" w:cs="仿宋"/>
                <w:sz w:val="21"/>
                <w:szCs w:val="21"/>
              </w:rPr>
            </w:pPr>
            <w:r>
              <w:rPr>
                <w:rFonts w:hint="eastAsia" w:ascii="仿宋" w:hAnsi="仿宋" w:eastAsia="仿宋" w:cs="仿宋"/>
                <w:sz w:val="21"/>
                <w:szCs w:val="21"/>
              </w:rPr>
              <w:t>权益登记日在本基金注册登记机构登记在册的本基金全体份额所有人</w:t>
            </w:r>
          </w:p>
        </w:tc>
      </w:tr>
      <w:tr w14:paraId="46FC2C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4" w:hRule="atLeast"/>
        </w:trPr>
        <w:tc>
          <w:tcPr>
            <w:tcW w:w="2740" w:type="dxa"/>
          </w:tcPr>
          <w:p w14:paraId="5C34797E">
            <w:pPr>
              <w:spacing w:line="360" w:lineRule="auto"/>
              <w:rPr>
                <w:rFonts w:hint="eastAsia" w:ascii="仿宋" w:hAnsi="仿宋" w:eastAsia="仿宋" w:cs="仿宋"/>
                <w:sz w:val="21"/>
                <w:szCs w:val="21"/>
              </w:rPr>
            </w:pPr>
            <w:r>
              <w:rPr>
                <w:rFonts w:hint="eastAsia" w:ascii="仿宋" w:hAnsi="仿宋" w:eastAsia="仿宋" w:cs="仿宋"/>
                <w:sz w:val="21"/>
                <w:szCs w:val="21"/>
              </w:rPr>
              <w:t>分红方式</w:t>
            </w:r>
          </w:p>
        </w:tc>
        <w:tc>
          <w:tcPr>
            <w:tcW w:w="6747" w:type="dxa"/>
          </w:tcPr>
          <w:p w14:paraId="361B891A">
            <w:pPr>
              <w:spacing w:line="360" w:lineRule="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按投资人意愿（默认现金分红）</w:t>
            </w:r>
          </w:p>
        </w:tc>
      </w:tr>
    </w:tbl>
    <w:p w14:paraId="6663EDBB">
      <w:pPr>
        <w:spacing w:line="360" w:lineRule="auto"/>
        <w:rPr>
          <w:rFonts w:hint="eastAsia" w:ascii="仿宋" w:hAnsi="仿宋" w:eastAsia="仿宋" w:cs="仿宋"/>
          <w:b/>
          <w:sz w:val="21"/>
          <w:szCs w:val="21"/>
        </w:rPr>
      </w:pPr>
      <w:r>
        <w:rPr>
          <w:rFonts w:hint="eastAsia" w:ascii="仿宋" w:hAnsi="仿宋" w:eastAsia="仿宋" w:cs="仿宋"/>
          <w:b/>
          <w:sz w:val="21"/>
          <w:szCs w:val="21"/>
        </w:rPr>
        <w:t>其他需要提示的事项</w:t>
      </w:r>
    </w:p>
    <w:p w14:paraId="5052160B">
      <w:pPr>
        <w:spacing w:line="360" w:lineRule="auto"/>
        <w:rPr>
          <w:rFonts w:hint="eastAsia" w:ascii="仿宋" w:hAnsi="仿宋" w:eastAsia="仿宋" w:cs="仿宋"/>
          <w:b/>
          <w:sz w:val="21"/>
          <w:szCs w:val="21"/>
        </w:rPr>
      </w:pPr>
      <w:r>
        <w:rPr>
          <w:rFonts w:hint="eastAsia" w:ascii="仿宋" w:hAnsi="仿宋" w:eastAsia="仿宋" w:cs="仿宋"/>
          <w:sz w:val="21"/>
          <w:szCs w:val="21"/>
          <w:highlight w:val="yellow"/>
          <w:lang w:val="en-US" w:eastAsia="zh-CN"/>
        </w:rPr>
        <w:t>1）本次分红默认为现金分红，如需红利再投资的投资人请于R-1日16点前，发送需求邮件到{{Mail</w:t>
      </w:r>
      <w:bookmarkStart w:id="0" w:name="_GoBack"/>
      <w:bookmarkEnd w:id="0"/>
      <w:r>
        <w:rPr>
          <w:rFonts w:hint="eastAsia" w:ascii="仿宋" w:hAnsi="仿宋" w:eastAsia="仿宋" w:cs="仿宋"/>
          <w:sz w:val="21"/>
          <w:szCs w:val="21"/>
          <w:highlight w:val="yellow"/>
          <w:lang w:val="en-US" w:eastAsia="zh-CN"/>
        </w:rPr>
        <w:t>}}（内容为投资人名称+证件号+申请分红方式调整为红利再投资），以管理人回复的确认函为准。</w:t>
      </w:r>
    </w:p>
    <w:p w14:paraId="76FD9EC3">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2</w:t>
      </w:r>
      <w:r>
        <w:rPr>
          <w:rFonts w:hint="eastAsia" w:ascii="仿宋" w:hAnsi="仿宋" w:eastAsia="仿宋" w:cs="仿宋"/>
          <w:sz w:val="21"/>
          <w:szCs w:val="21"/>
        </w:rPr>
        <w:t>）红利款将于</w:t>
      </w:r>
      <w:r>
        <w:rPr>
          <w:rFonts w:hint="eastAsia" w:ascii="仿宋" w:hAnsi="仿宋" w:eastAsia="仿宋" w:cs="仿宋"/>
          <w:sz w:val="21"/>
          <w:szCs w:val="21"/>
          <w:lang w:val="en-US" w:eastAsia="zh-CN"/>
        </w:rPr>
        <w:t>{{CashPaymentDate}}</w:t>
      </w:r>
      <w:r>
        <w:rPr>
          <w:rFonts w:hint="eastAsia" w:ascii="仿宋" w:hAnsi="仿宋" w:eastAsia="仿宋" w:cs="仿宋"/>
          <w:sz w:val="21"/>
          <w:szCs w:val="21"/>
        </w:rPr>
        <w:t>自基金托管账户划出，投资者收到红利款的时间以银行实际到账时间为准。</w:t>
      </w:r>
    </w:p>
    <w:p w14:paraId="1D06F906">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3</w:t>
      </w:r>
      <w:r>
        <w:rPr>
          <w:rFonts w:hint="eastAsia" w:ascii="仿宋" w:hAnsi="仿宋" w:eastAsia="仿宋" w:cs="仿宋"/>
          <w:sz w:val="21"/>
          <w:szCs w:val="21"/>
        </w:rPr>
        <w:t>） R日（除息日）以后（含R日）申请申购的基金份额不享有本次分红权益，R日申请赎回的基金份额享有本次分红权益。</w:t>
      </w:r>
    </w:p>
    <w:p w14:paraId="75AE59A1">
      <w:pPr>
        <w:spacing w:line="360" w:lineRule="auto"/>
        <w:rPr>
          <w:rFonts w:hint="eastAsia" w:ascii="仿宋" w:hAnsi="仿宋" w:eastAsia="仿宋" w:cs="仿宋"/>
          <w:sz w:val="21"/>
          <w:szCs w:val="21"/>
        </w:rPr>
      </w:pPr>
      <w:r>
        <w:rPr>
          <w:rFonts w:hint="eastAsia" w:ascii="仿宋" w:hAnsi="仿宋" w:eastAsia="仿宋" w:cs="仿宋"/>
          <w:sz w:val="21"/>
          <w:szCs w:val="21"/>
          <w:lang w:val="en-US" w:eastAsia="zh-CN"/>
        </w:rPr>
        <w:t>4</w:t>
      </w:r>
      <w:r>
        <w:rPr>
          <w:rFonts w:hint="eastAsia" w:ascii="仿宋" w:hAnsi="仿宋" w:eastAsia="仿宋" w:cs="仿宋"/>
          <w:sz w:val="21"/>
          <w:szCs w:val="21"/>
        </w:rPr>
        <w:t>）红利款在计算过程中可能因四舍五入产生尾差，投资者最终收到的红利款以注册登记机构确认金额为准。</w:t>
      </w:r>
    </w:p>
    <w:p w14:paraId="5C832B58">
      <w:pPr>
        <w:spacing w:line="360" w:lineRule="auto"/>
        <w:rPr>
          <w:rFonts w:hint="eastAsia" w:ascii="仿宋" w:hAnsi="仿宋" w:eastAsia="仿宋" w:cs="仿宋"/>
          <w:sz w:val="21"/>
          <w:szCs w:val="21"/>
        </w:rPr>
      </w:pPr>
    </w:p>
    <w:p w14:paraId="612F0784">
      <w:pPr>
        <w:spacing w:afterLines="50" w:line="360" w:lineRule="auto"/>
        <w:jc w:val="righ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{{ManagerName}}</w:t>
      </w:r>
    </w:p>
    <w:p w14:paraId="4C232D45">
      <w:pPr>
        <w:spacing w:afterLines="50" w:line="360" w:lineRule="auto"/>
        <w:jc w:val="righ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{{AnnouncementDate}}</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4MzdlM2IzMjMwMDMyZTdhNTYzN2RjNWU3MmYxZjUifQ=="/>
  </w:docVars>
  <w:rsids>
    <w:rsidRoot w:val="00172A27"/>
    <w:rsid w:val="000011F7"/>
    <w:rsid w:val="00047108"/>
    <w:rsid w:val="001D7B5C"/>
    <w:rsid w:val="00263DD2"/>
    <w:rsid w:val="00425C1E"/>
    <w:rsid w:val="005771AA"/>
    <w:rsid w:val="00594C13"/>
    <w:rsid w:val="005A30F5"/>
    <w:rsid w:val="005D7DE8"/>
    <w:rsid w:val="006C0929"/>
    <w:rsid w:val="006C298E"/>
    <w:rsid w:val="00743F53"/>
    <w:rsid w:val="0074514E"/>
    <w:rsid w:val="007B5C8C"/>
    <w:rsid w:val="00827E93"/>
    <w:rsid w:val="008B2C09"/>
    <w:rsid w:val="008E3905"/>
    <w:rsid w:val="009029B9"/>
    <w:rsid w:val="00972FCC"/>
    <w:rsid w:val="009E6837"/>
    <w:rsid w:val="00A14813"/>
    <w:rsid w:val="00A61CF9"/>
    <w:rsid w:val="00AF7D2D"/>
    <w:rsid w:val="00B138E6"/>
    <w:rsid w:val="00B23F5A"/>
    <w:rsid w:val="00B30D94"/>
    <w:rsid w:val="00B54CC2"/>
    <w:rsid w:val="00C05BB9"/>
    <w:rsid w:val="00C17EB3"/>
    <w:rsid w:val="00CE3C8F"/>
    <w:rsid w:val="00CF7301"/>
    <w:rsid w:val="00E52C8E"/>
    <w:rsid w:val="00EC5338"/>
    <w:rsid w:val="00F0528F"/>
    <w:rsid w:val="00FC178E"/>
    <w:rsid w:val="00FD5F5F"/>
    <w:rsid w:val="0318277B"/>
    <w:rsid w:val="0E166F78"/>
    <w:rsid w:val="0F0D2164"/>
    <w:rsid w:val="10AE0661"/>
    <w:rsid w:val="14E673AA"/>
    <w:rsid w:val="16563B6D"/>
    <w:rsid w:val="1945381D"/>
    <w:rsid w:val="19B55EC8"/>
    <w:rsid w:val="1C9726EA"/>
    <w:rsid w:val="205820D3"/>
    <w:rsid w:val="242D2126"/>
    <w:rsid w:val="257438EC"/>
    <w:rsid w:val="285C2D2D"/>
    <w:rsid w:val="31A32702"/>
    <w:rsid w:val="32E263B0"/>
    <w:rsid w:val="331A3874"/>
    <w:rsid w:val="34E62056"/>
    <w:rsid w:val="3516772D"/>
    <w:rsid w:val="365D1B8A"/>
    <w:rsid w:val="366D2EA0"/>
    <w:rsid w:val="38C703C0"/>
    <w:rsid w:val="39B44B30"/>
    <w:rsid w:val="3B6F452D"/>
    <w:rsid w:val="3D181556"/>
    <w:rsid w:val="4298502E"/>
    <w:rsid w:val="42D22878"/>
    <w:rsid w:val="43D326C8"/>
    <w:rsid w:val="444522ED"/>
    <w:rsid w:val="491C522B"/>
    <w:rsid w:val="4A944618"/>
    <w:rsid w:val="4BEE3B59"/>
    <w:rsid w:val="4E9D7539"/>
    <w:rsid w:val="57541431"/>
    <w:rsid w:val="580120D6"/>
    <w:rsid w:val="58B07C24"/>
    <w:rsid w:val="5ABF4225"/>
    <w:rsid w:val="5CAE064F"/>
    <w:rsid w:val="5DBD549B"/>
    <w:rsid w:val="5F387044"/>
    <w:rsid w:val="5FBF6DA8"/>
    <w:rsid w:val="632E0D88"/>
    <w:rsid w:val="63DE43EB"/>
    <w:rsid w:val="65800736"/>
    <w:rsid w:val="66986F9E"/>
    <w:rsid w:val="68124BAE"/>
    <w:rsid w:val="6A3B1926"/>
    <w:rsid w:val="6D356589"/>
    <w:rsid w:val="6D60176B"/>
    <w:rsid w:val="72A577D6"/>
    <w:rsid w:val="7AC35E02"/>
    <w:rsid w:val="7C01308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3"/>
    <w:semiHidden/>
    <w:unhideWhenUsed/>
    <w:qFormat/>
    <w:uiPriority w:val="99"/>
    <w:rPr>
      <w:rFonts w:ascii="宋体" w:eastAsia="宋体"/>
      <w:sz w:val="18"/>
      <w:szCs w:val="18"/>
    </w:r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6"/>
    <w:uiPriority w:val="0"/>
    <w:pPr>
      <w:snapToGrid w:val="0"/>
      <w:jc w:val="left"/>
    </w:pPr>
    <w:rPr>
      <w:rFonts w:ascii="Times New Roman" w:hAnsi="Times New Roman" w:eastAsia="宋体" w:cs="Times New Roman"/>
      <w:sz w:val="18"/>
      <w:szCs w:val="20"/>
    </w:rPr>
  </w:style>
  <w:style w:type="paragraph" w:styleId="6">
    <w:name w:val="Title"/>
    <w:basedOn w:val="1"/>
    <w:next w:val="1"/>
    <w:link w:val="12"/>
    <w:qFormat/>
    <w:uiPriority w:val="10"/>
    <w:pPr>
      <w:spacing w:before="240" w:after="60"/>
      <w:jc w:val="center"/>
      <w:outlineLvl w:val="0"/>
    </w:pPr>
    <w:rPr>
      <w:rFonts w:eastAsia="宋体" w:asciiTheme="majorHAnsi" w:hAnsiTheme="majorHAnsi" w:cstheme="majorBidi"/>
      <w:b/>
      <w:bCs/>
      <w:sz w:val="32"/>
      <w:szCs w:val="32"/>
    </w:rPr>
  </w:style>
  <w:style w:type="table" w:styleId="8">
    <w:name w:val="Table Grid"/>
    <w:basedOn w:val="7"/>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footnote reference"/>
    <w:qFormat/>
    <w:uiPriority w:val="0"/>
    <w:rPr>
      <w:vertAlign w:val="superscript"/>
    </w:rPr>
  </w:style>
  <w:style w:type="paragraph" w:styleId="11">
    <w:name w:val="List Paragraph"/>
    <w:basedOn w:val="1"/>
    <w:qFormat/>
    <w:uiPriority w:val="34"/>
    <w:pPr>
      <w:ind w:firstLine="420" w:firstLineChars="200"/>
    </w:pPr>
  </w:style>
  <w:style w:type="character" w:customStyle="1" w:styleId="12">
    <w:name w:val="标题 Char"/>
    <w:basedOn w:val="9"/>
    <w:link w:val="6"/>
    <w:qFormat/>
    <w:uiPriority w:val="10"/>
    <w:rPr>
      <w:rFonts w:eastAsia="宋体" w:asciiTheme="majorHAnsi" w:hAnsiTheme="majorHAnsi" w:cstheme="majorBidi"/>
      <w:b/>
      <w:bCs/>
      <w:sz w:val="32"/>
      <w:szCs w:val="32"/>
    </w:rPr>
  </w:style>
  <w:style w:type="character" w:customStyle="1" w:styleId="13">
    <w:name w:val="文档结构图 Char"/>
    <w:basedOn w:val="9"/>
    <w:link w:val="2"/>
    <w:semiHidden/>
    <w:qFormat/>
    <w:uiPriority w:val="99"/>
    <w:rPr>
      <w:rFonts w:ascii="宋体" w:eastAsia="宋体"/>
      <w:sz w:val="18"/>
      <w:szCs w:val="18"/>
    </w:rPr>
  </w:style>
  <w:style w:type="character" w:customStyle="1" w:styleId="14">
    <w:name w:val="页眉 Char"/>
    <w:basedOn w:val="9"/>
    <w:link w:val="4"/>
    <w:qFormat/>
    <w:uiPriority w:val="99"/>
    <w:rPr>
      <w:sz w:val="18"/>
      <w:szCs w:val="18"/>
    </w:rPr>
  </w:style>
  <w:style w:type="character" w:customStyle="1" w:styleId="15">
    <w:name w:val="页脚 Char"/>
    <w:basedOn w:val="9"/>
    <w:link w:val="3"/>
    <w:qFormat/>
    <w:uiPriority w:val="99"/>
    <w:rPr>
      <w:sz w:val="18"/>
      <w:szCs w:val="18"/>
    </w:rPr>
  </w:style>
  <w:style w:type="character" w:customStyle="1" w:styleId="16">
    <w:name w:val="脚注文本 Char"/>
    <w:basedOn w:val="9"/>
    <w:link w:val="5"/>
    <w:qFormat/>
    <w:uiPriority w:val="0"/>
    <w:rPr>
      <w:rFonts w:ascii="Times New Roman" w:hAnsi="Times New Roman" w:eastAsia="宋体" w:cs="Times New Roman"/>
      <w:sz w:val="18"/>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380</Words>
  <Characters>612</Characters>
  <Lines>4</Lines>
  <Paragraphs>1</Paragraphs>
  <TotalTime>115</TotalTime>
  <ScaleCrop>false</ScaleCrop>
  <LinksUpToDate>false</LinksUpToDate>
  <CharactersWithSpaces>613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2015-08-13T02:41:00Z</dcterms:created>
  <dc:creator>Zhitai Han</dc:creator>
  <cp:lastModifiedBy>石俊</cp:lastModifiedBy>
  <dcterms:modified xsi:type="dcterms:W3CDTF">2025-12-12T03:12:06Z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D47CC7E8F7464302B693B4F1BF272378_13</vt:lpwstr>
  </property>
</Properties>
</file>