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Modelo FIRE-UdeA — Versión Final</w:t>
      </w:r>
    </w:p>
    <w:p>
      <w:pPr>
        <w:pStyle w:val="Heading2"/>
      </w:pPr>
      <w:r>
        <w:t>Resumen Ejecutivo</w:t>
      </w:r>
    </w:p>
    <w:p>
      <w:r>
        <w:t>Sistema predictivo de riesgo financiero para la Universidad de Antioquia basado en datamart estrella y modelo ML.</w:t>
      </w:r>
    </w:p>
    <w:p>
      <w:pPr>
        <w:pStyle w:val="Heading2"/>
      </w:pPr>
      <w:r>
        <w:t>Arquitectura del Datamart</w:t>
      </w:r>
    </w:p>
    <w:p>
      <w:r>
        <w:t>Incluye FACT_FINANCIERO, FACT_FLUJO_EFECTIVO, FACT_INDICADOR_FINANCIERO y todas las dimensiones asociadas.</w:t>
      </w:r>
    </w:p>
    <w:p>
      <w:pPr>
        <w:pStyle w:val="Heading2"/>
      </w:pPr>
      <w:r>
        <w:t>Modelo Predictivo</w:t>
      </w:r>
    </w:p>
    <w:p>
      <w:r>
        <w:t>Modelo Gradient Boosting, validación temporal, calibración, SHAP, pipeline MLOps.</w:t>
      </w:r>
    </w:p>
    <w:p>
      <w:pPr>
        <w:pStyle w:val="Heading2"/>
      </w:pPr>
      <w:r>
        <w:t>SQL Incluido</w:t>
      </w:r>
    </w:p>
    <w:p>
      <w:r>
        <w:t>Se incluyen consultas de feature engineering y construcción del label.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E5BF1CD2BBC3B42A192217F5BBC8C81" ma:contentTypeVersion="10" ma:contentTypeDescription="Crear nuevo documento." ma:contentTypeScope="" ma:versionID="17b0b5e1f23542b75fd9d99bf92304a6">
  <xsd:schema xmlns:xsd="http://www.w3.org/2001/XMLSchema" xmlns:xs="http://www.w3.org/2001/XMLSchema" xmlns:p="http://schemas.microsoft.com/office/2006/metadata/properties" xmlns:ns2="154cc4ef-5c80-4b18-85a4-bbd2ef9cc880" xmlns:ns3="a6c83530-b8b5-4458-ba8a-09be4bf6d496" targetNamespace="http://schemas.microsoft.com/office/2006/metadata/properties" ma:root="true" ma:fieldsID="af0b22dc2fd72332c172752ef7809886" ns2:_="" ns3:_="">
    <xsd:import namespace="154cc4ef-5c80-4b18-85a4-bbd2ef9cc880"/>
    <xsd:import namespace="a6c83530-b8b5-4458-ba8a-09be4bf6d4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4cc4ef-5c80-4b18-85a4-bbd2ef9cc8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83530-b8b5-4458-ba8a-09be4bf6d49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072d24-6e0b-46e3-a1a4-55c19d8e7555}" ma:internalName="TaxCatchAll" ma:showField="CatchAllData" ma:web="a6c83530-b8b5-4458-ba8a-09be4bf6d4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c83530-b8b5-4458-ba8a-09be4bf6d496" xsi:nil="true"/>
    <lcf76f155ced4ddcb4097134ff3c332f xmlns="154cc4ef-5c80-4b18-85a4-bbd2ef9cc8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22E3996-57CB-4A72-9CE0-06A8537FD590}"/>
</file>

<file path=customXml/itemProps3.xml><?xml version="1.0" encoding="utf-8"?>
<ds:datastoreItem xmlns:ds="http://schemas.openxmlformats.org/officeDocument/2006/customXml" ds:itemID="{EA179B5A-ADCD-4675-8995-E2DDD49074DB}"/>
</file>

<file path=customXml/itemProps4.xml><?xml version="1.0" encoding="utf-8"?>
<ds:datastoreItem xmlns:ds="http://schemas.openxmlformats.org/officeDocument/2006/customXml" ds:itemID="{4D027980-AC68-4652-90A5-8953C58BCC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0x0101006E5BF1CD2BBC3B42A192217F5BBC8C81</vt:lpwstr>
  </property>
</Properties>
</file>