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FIRE-UdeA</w:t>
      </w:r>
    </w:p>
    <w:p>
      <w:pPr>
        <w:spacing w:after="200"/>
        <w:jc w:val="center"/>
      </w:pPr>
      <w:r>
        <w:rPr>
          <w:rFonts w:ascii="Arial" w:cs="Arial" w:eastAsia="Arial" w:hAnsi="Arial"/>
          <w:color w:val="2C3E50"/>
          <w:sz w:val="36"/>
          <w:szCs w:val="36"/>
        </w:rPr>
        <w:t xml:space="preserve">Modelo Predictivo de Riesgo Financiero</w:t>
      </w:r>
    </w:p>
    <w:p>
      <w:pPr>
        <w:spacing w:after="100"/>
        <w:jc w:val="center"/>
      </w:pPr>
      <w:r>
        <w:rPr>
          <w:rFonts w:ascii="Arial" w:cs="Arial" w:eastAsia="Arial" w:hAnsi="Arial"/>
          <w:color w:val="5D6D7E"/>
          <w:sz w:val="28"/>
          <w:szCs w:val="28"/>
        </w:rPr>
        <w:t xml:space="preserve">Universidad de Antioquia</w:t>
      </w:r>
    </w:p>
    <w:p>
      <w:pPr>
        <w:pBdr>
          <w:bottom w:val="single" w:color="1B4F72" w:sz="6" w:space="1"/>
        </w:pBdr>
        <w:spacing w:after="400"/>
        <w:jc w:val="center"/>
      </w:pPr>
    </w:p>
    <w:p>
      <w:pPr>
        <w:spacing w:after="100"/>
        <w:jc w:val="center"/>
      </w:pPr>
      <w:r>
        <w:rPr>
          <w:rFonts w:ascii="Arial" w:cs="Arial" w:eastAsia="Arial" w:hAnsi="Arial"/>
          <w:color w:val="5D6D7E"/>
          <w:sz w:val="24"/>
          <w:szCs w:val="24"/>
        </w:rPr>
        <w:t xml:space="preserve">Clasificación con Árboles de Decisión y Random Forest</w:t>
      </w:r>
    </w:p>
    <w:p>
      <w:pPr>
        <w:spacing w:after="100"/>
        <w:jc w:val="center"/>
      </w:pPr>
      <w:r>
        <w:rPr>
          <w:rFonts w:ascii="Arial" w:cs="Arial" w:eastAsia="Arial" w:hAnsi="Arial"/>
          <w:color w:val="5D6D7E"/>
          <w:sz w:val="24"/>
          <w:szCs w:val="24"/>
        </w:rPr>
        <w:t xml:space="preserve">Análisis Comparativo frente a Gradient Boosting</w:t>
      </w:r>
    </w:p>
    <w:p>
      <w:pPr>
        <w:spacing w:before="600" w:after="100"/>
        <w:jc w:val="center"/>
      </w:pPr>
      <w:r>
        <w:rPr>
          <w:rFonts w:ascii="Arial" w:cs="Arial" w:eastAsia="Arial" w:hAnsi="Arial"/>
          <w:color w:val="7F8C8D"/>
          <w:sz w:val="22"/>
          <w:szCs w:val="22"/>
        </w:rPr>
        <w:t xml:space="preserve">Proyecto FIRE-UdeA — Machine Learning Supervisado</w:t>
      </w:r>
    </w:p>
    <w:p>
      <w:pPr>
        <w:jc w:val="center"/>
      </w:pPr>
      <w:r>
        <w:rPr>
          <w:rFonts w:ascii="Arial" w:cs="Arial" w:eastAsia="Arial" w:hAnsi="Arial"/>
          <w:color w:val="7F8C8D"/>
          <w:sz w:val="22"/>
          <w:szCs w:val="22"/>
        </w:rPr>
        <w:t xml:space="preserve">2025</w:t>
      </w:r>
    </w:p>
    <w:p>
      <w:r>
        <w:br w:type="page"/>
      </w:r>
    </w:p>
    <w:p>
      <w:pPr>
        <w:pStyle w:val="Heading1"/>
        <w:spacing w:before="240" w:after="120"/>
      </w:pPr>
      <w:r>
        <w:rPr>
          <w:rFonts w:ascii="Arial" w:cs="Arial" w:eastAsia="Arial" w:hAnsi="Arial"/>
        </w:rPr>
        <w:t xml:space="preserve">1. Introducción y Comprensión del Problema</w:t>
      </w:r>
    </w:p>
    <w:p>
      <w:pPr>
        <w:spacing w:after="120"/>
        <w:jc w:val="both"/>
      </w:pPr>
      <w:r>
        <w:rPr>
          <w:rFonts w:ascii="Arial" w:cs="Arial" w:eastAsia="Arial" w:hAnsi="Arial"/>
          <w:b w:val="false"/>
          <w:bCs w:val="false"/>
          <w:color w:val="000000"/>
          <w:sz w:val="22"/>
          <w:szCs w:val="22"/>
        </w:rPr>
        <w:t xml:space="preserve">La Universidad de Antioquia, como institución pública de educación superior, enfrenta desafíos estructurales de financiamiento que afectan su sostenibilidad operativa. La dependencia de transferencias del Estado (Ley 30 de 1992), la volatilidad de fuentes como regalías y venta de servicios, el crecimiento sostenido de los gastos de personal y la rigidez presupuestal configuran un escenario de riesgo financiero latente.</w:t>
      </w:r>
    </w:p>
    <w:p>
      <w:pPr>
        <w:spacing w:after="120"/>
        <w:jc w:val="both"/>
      </w:pPr>
      <w:r>
        <w:rPr>
          <w:rFonts w:ascii="Arial" w:cs="Arial" w:eastAsia="Arial" w:hAnsi="Arial"/>
          <w:b w:val="false"/>
          <w:bCs w:val="false"/>
          <w:color w:val="000000"/>
          <w:sz w:val="22"/>
          <w:szCs w:val="22"/>
        </w:rPr>
        <w:t xml:space="preserve">El proyecto FIRE-UdeA tiene como objetivo construir un sistema de alerta temprana basado en modelos de machine learning que permita anticipar periodos de tensión financiera en las unidades académicas y administrativas de la universidad. En esta fase, se desarrollan modelos basados en árboles de decisión y Random Forest, comparándolos con el enfoque previo de Gradient Boosting.</w:t>
      </w:r>
    </w:p>
    <w:p>
      <w:pPr>
        <w:pStyle w:val="Heading2"/>
        <w:spacing w:before="240" w:after="120"/>
      </w:pPr>
      <w:r>
        <w:rPr>
          <w:rFonts w:ascii="Arial" w:cs="Arial" w:eastAsia="Arial" w:hAnsi="Arial"/>
        </w:rPr>
        <w:t xml:space="preserve">1.1 Definición de la variable objetivo</w:t>
      </w:r>
    </w:p>
    <w:p>
      <w:pPr>
        <w:spacing w:after="120"/>
        <w:jc w:val="both"/>
      </w:pPr>
      <w:r>
        <w:rPr>
          <w:rFonts w:ascii="Arial" w:cs="Arial" w:eastAsia="Arial" w:hAnsi="Arial"/>
          <w:b w:val="false"/>
          <w:bCs w:val="false"/>
          <w:color w:val="000000"/>
          <w:sz w:val="22"/>
          <w:szCs w:val="22"/>
        </w:rPr>
        <w:t xml:space="preserve">Se define tensión financiera (label = 1) cuando se presenta alguna combinación de las siguientes condiciones: CFO negativo por dos años consecutivos, ratio de liquidez inferior a 1, o días de efectivo disponibles menores a 30. Estas condiciones capturan deterioros simultáneos en liquidez, generación de caja y capacidad operativa.</w:t>
      </w:r>
    </w:p>
    <w:p>
      <w:pPr>
        <w:pStyle w:val="Heading2"/>
        <w:spacing w:before="240" w:after="120"/>
      </w:pPr>
      <w:r>
        <w:rPr>
          <w:rFonts w:ascii="Arial" w:cs="Arial" w:eastAsia="Arial" w:hAnsi="Arial"/>
        </w:rPr>
        <w:t xml:space="preserve">1.2 Justificación de los modelos seleccionados</w:t>
      </w:r>
    </w:p>
    <w:p>
      <w:pPr>
        <w:spacing w:after="120"/>
        <w:jc w:val="both"/>
      </w:pPr>
      <w:r>
        <w:rPr>
          <w:rFonts w:ascii="Arial" w:cs="Arial" w:eastAsia="Arial" w:hAnsi="Arial"/>
          <w:b w:val="false"/>
          <w:bCs w:val="false"/>
          <w:color w:val="000000"/>
          <w:sz w:val="22"/>
          <w:szCs w:val="22"/>
        </w:rPr>
        <w:t xml:space="preserve">Los modelos basados en árboles son especialmente adecuados para este caso por su interpretabilidad (generan reglas en lenguaje financiero), invariancia al escalado, capacidad de capturar no linealidades y robustez frente a outliers. Random Forest agrega estabilidad mediante el ensamble de múltiples árboles, reduciendo varianza y overfitting.</w:t>
      </w:r>
    </w:p>
    <w:p>
      <w:r>
        <w:br w:type="page"/>
      </w:r>
    </w:p>
    <w:p>
      <w:pPr>
        <w:pStyle w:val="Heading1"/>
        <w:spacing w:before="240" w:after="120"/>
      </w:pPr>
      <w:r>
        <w:rPr>
          <w:rFonts w:ascii="Arial" w:cs="Arial" w:eastAsia="Arial" w:hAnsi="Arial"/>
        </w:rPr>
        <w:t xml:space="preserve">2. Descripción del Dataset</w:t>
      </w:r>
    </w:p>
    <w:p>
      <w:pPr>
        <w:spacing w:after="120"/>
        <w:jc w:val="both"/>
      </w:pPr>
      <w:r>
        <w:rPr>
          <w:rFonts w:ascii="Arial" w:cs="Arial" w:eastAsia="Arial" w:hAnsi="Arial"/>
          <w:b w:val="false"/>
          <w:bCs w:val="false"/>
          <w:color w:val="000000"/>
          <w:sz w:val="22"/>
          <w:szCs w:val="22"/>
        </w:rPr>
        <w:t xml:space="preserve">El dataset contiene 80 observaciones correspondientes a 8 unidades organizacionales de la Universidad de Antioquia durante el periodo 2016-2025 (10 años por unidad). Se dispone de 13 variables predictoras de naturaleza financiera y una variable objetivo binaria.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Tamaño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filas × 16 columnas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Unidades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unidades académicas/administrativas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Periodo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2016–2025 (10 años)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Variable objetivo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label (0=sin tensión, 1=tensión financiera)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Balance de clases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 sin tensión (52.5%) vs 38 con tensión (47.5%)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Valores nulos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valores nulos distribuidos en 7 variables (2.3% del total)</w:t>
            </w:r>
          </w:p>
        </w:tc>
      </w:tr>
    </w:tbl>
    <w:p>
      <w:pPr>
        <w:spacing w:after="200"/>
      </w:pPr>
    </w:p>
    <w:p>
      <w:pPr>
        <w:pStyle w:val="Heading2"/>
        <w:spacing w:before="240" w:after="120"/>
      </w:pPr>
      <w:r>
        <w:rPr>
          <w:rFonts w:ascii="Arial" w:cs="Arial" w:eastAsia="Arial" w:hAnsi="Arial"/>
        </w:rPr>
        <w:t xml:space="preserve">2.1 Variables financieras</w:t>
      </w:r>
    </w:p>
    <w:p>
      <w:pPr>
        <w:spacing w:after="120"/>
        <w:jc w:val="both"/>
      </w:pPr>
      <w:r>
        <w:rPr>
          <w:rFonts w:ascii="Arial" w:cs="Arial" w:eastAsia="Arial" w:hAnsi="Arial"/>
          <w:b w:val="false"/>
          <w:bCs w:val="false"/>
          <w:color w:val="000000"/>
          <w:sz w:val="22"/>
          <w:szCs w:val="22"/>
        </w:rPr>
        <w:t xml:space="preserve">Las 13 variables predictoras incluyen: ingresos_totales, gastos_personal, liquidez, dias_efectivo, cfo (flujo de caja operativo), participacion_ley30, participacion_regalias, participacion_servicios, participacion_matriculas, hhi_fuentes (índice de concentración), endeudamiento, tendencia_ingresos y gp_ratio (gastos de personal sobre ingresos).</w:t>
      </w:r>
    </w:p>
    <w:p>
      <w:r>
        <w:br w:type="page"/>
      </w:r>
    </w:p>
    <w:p>
      <w:pPr>
        <w:pStyle w:val="Heading1"/>
        <w:spacing w:before="240" w:after="120"/>
      </w:pPr>
      <w:r>
        <w:rPr>
          <w:rFonts w:ascii="Arial" w:cs="Arial" w:eastAsia="Arial" w:hAnsi="Arial"/>
        </w:rPr>
        <w:t xml:space="preserve">3. Análisis Exploratorio de Datos (EDA)</w:t>
      </w:r>
    </w:p>
    <w:p>
      <w:pPr>
        <w:pStyle w:val="Heading2"/>
        <w:spacing w:before="240" w:after="120"/>
      </w:pPr>
      <w:r>
        <w:rPr>
          <w:rFonts w:ascii="Arial" w:cs="Arial" w:eastAsia="Arial" w:hAnsi="Arial"/>
        </w:rPr>
        <w:t xml:space="preserve">3.1 Hallazgos principales</w:t>
      </w:r>
    </w:p>
    <w:p>
      <w:pPr>
        <w:spacing w:after="120"/>
        <w:jc w:val="both"/>
      </w:pPr>
      <w:r>
        <w:rPr>
          <w:rFonts w:ascii="Arial" w:cs="Arial" w:eastAsia="Arial" w:hAnsi="Arial"/>
          <w:b w:val="false"/>
          <w:bCs w:val="false"/>
          <w:color w:val="000000"/>
          <w:sz w:val="22"/>
          <w:szCs w:val="22"/>
        </w:rPr>
        <w:t xml:space="preserve">El análisis exploratorio reveló los siguientes hallazgos relevantes para el modelado:</w:t>
      </w:r>
    </w:p>
    <w:p>
      <w:pPr>
        <w:spacing w:after="120"/>
        <w:jc w:val="both"/>
      </w:pPr>
      <w:r>
        <w:rPr>
          <w:rFonts w:ascii="Arial" w:cs="Arial" w:eastAsia="Arial" w:hAnsi="Arial"/>
          <w:b w:val="false"/>
          <w:bCs w:val="false"/>
          <w:color w:val="000000"/>
          <w:sz w:val="22"/>
          <w:szCs w:val="22"/>
        </w:rPr>
        <w:t xml:space="preserve">Valores nulos: Se identificaron 24 valores faltantes distribuidos en 7 variables, siendo endeudamiento la más afectada (10%). Se imputaron con la mediana, método robusto a outliers.</w:t>
      </w:r>
    </w:p>
    <w:p>
      <w:pPr>
        <w:spacing w:after="120"/>
        <w:jc w:val="both"/>
      </w:pPr>
      <w:r>
        <w:rPr>
          <w:rFonts w:ascii="Arial" w:cs="Arial" w:eastAsia="Arial" w:hAnsi="Arial"/>
          <w:b w:val="false"/>
          <w:bCs w:val="false"/>
          <w:color w:val="000000"/>
          <w:sz w:val="22"/>
          <w:szCs w:val="22"/>
        </w:rPr>
        <w:t xml:space="preserve">Balance de clases: Las clases están razonablemente balanceadas (52.5% vs 47.5%), lo cual evita la necesidad de técnicas agresivas de rebalanceo.</w:t>
      </w:r>
    </w:p>
    <w:p>
      <w:pPr>
        <w:spacing w:after="120"/>
        <w:jc w:val="both"/>
      </w:pPr>
      <w:r>
        <w:rPr>
          <w:rFonts w:ascii="Arial" w:cs="Arial" w:eastAsia="Arial" w:hAnsi="Arial"/>
          <w:b w:val="false"/>
          <w:bCs w:val="false"/>
          <w:color w:val="000000"/>
          <w:sz w:val="22"/>
          <w:szCs w:val="22"/>
        </w:rPr>
        <w:t xml:space="preserve">Duplicados: No se encontraron filas duplicadas en el dataset.</w:t>
      </w:r>
    </w:p>
    <w:p>
      <w:pPr>
        <w:pStyle w:val="Heading2"/>
        <w:spacing w:before="240" w:after="120"/>
      </w:pPr>
      <w:r>
        <w:rPr>
          <w:rFonts w:ascii="Arial" w:cs="Arial" w:eastAsia="Arial" w:hAnsi="Arial"/>
        </w:rPr>
        <w:t xml:space="preserve">3.2 Variables con mayor poder discriminante</w:t>
      </w:r>
    </w:p>
    <w:p>
      <w:pPr>
        <w:spacing w:after="120"/>
        <w:jc w:val="both"/>
      </w:pPr>
      <w:r>
        <w:rPr>
          <w:rFonts w:ascii="Arial" w:cs="Arial" w:eastAsia="Arial" w:hAnsi="Arial"/>
          <w:b w:val="false"/>
          <w:bCs w:val="false"/>
          <w:color w:val="000000"/>
          <w:sz w:val="22"/>
          <w:szCs w:val="22"/>
        </w:rPr>
        <w:t xml:space="preserve">El análisis de histogramas, boxplots y la matriz de correlación identificó las siguientes variables como las más útiles para distinguir entre periodos de tensión y normalidad financiera:</w:t>
      </w:r>
    </w:p>
    <w:p>
      <w:pPr>
        <w:spacing w:after="120"/>
        <w:jc w:val="both"/>
      </w:pPr>
      <w:r>
        <w:rPr>
          <w:rFonts w:ascii="Arial" w:cs="Arial" w:eastAsia="Arial" w:hAnsi="Arial"/>
          <w:b w:val="false"/>
          <w:bCs w:val="false"/>
          <w:color w:val="000000"/>
          <w:sz w:val="22"/>
          <w:szCs w:val="22"/>
        </w:rPr>
        <w:t xml:space="preserve">CFO (flujo de caja operativo): Los periodos de tensión se concentran en valores bajos o negativos, confirmando que la generación de caja es la señal más clara de deterioro.</w:t>
      </w:r>
    </w:p>
    <w:p>
      <w:pPr>
        <w:spacing w:after="120"/>
        <w:jc w:val="both"/>
      </w:pPr>
      <w:r>
        <w:rPr>
          <w:rFonts w:ascii="Arial" w:cs="Arial" w:eastAsia="Arial" w:hAnsi="Arial"/>
          <w:b w:val="false"/>
          <w:bCs w:val="false"/>
          <w:color w:val="000000"/>
          <w:sz w:val="22"/>
          <w:szCs w:val="22"/>
        </w:rPr>
        <w:t xml:space="preserve">GP_RATIO: Un ratio alto de gastos de personal sobre ingresos se asocia consistentemente con tensión, reflejando la presión de la nómina sobre la sostenibilidad.</w:t>
      </w:r>
    </w:p>
    <w:p>
      <w:pPr>
        <w:spacing w:after="120"/>
        <w:jc w:val="both"/>
      </w:pPr>
      <w:r>
        <w:rPr>
          <w:rFonts w:ascii="Arial" w:cs="Arial" w:eastAsia="Arial" w:hAnsi="Arial"/>
          <w:b w:val="false"/>
          <w:bCs w:val="false"/>
          <w:color w:val="000000"/>
          <w:sz w:val="22"/>
          <w:szCs w:val="22"/>
        </w:rPr>
        <w:t xml:space="preserve">Días de efectivo: Valores inferiores a 60 días aparecen con mayor frecuencia en periodos de tensión.</w:t>
      </w:r>
    </w:p>
    <w:p>
      <w:pPr>
        <w:spacing w:after="120"/>
        <w:jc w:val="both"/>
      </w:pPr>
      <w:r>
        <w:rPr>
          <w:rFonts w:ascii="Arial" w:cs="Arial" w:eastAsia="Arial" w:hAnsi="Arial"/>
          <w:b w:val="false"/>
          <w:bCs w:val="false"/>
          <w:color w:val="000000"/>
          <w:sz w:val="22"/>
          <w:szCs w:val="22"/>
        </w:rPr>
        <w:t xml:space="preserve">Liquidez: Valores cercanos o inferiores a 1 se asocian con mayor riesgo.</w:t>
      </w:r>
    </w:p>
    <w:p>
      <w:pPr>
        <w:spacing w:after="120"/>
        <w:jc w:val="both"/>
      </w:pPr>
      <w:r>
        <w:rPr>
          <w:rFonts w:ascii="Arial" w:cs="Arial" w:eastAsia="Arial" w:hAnsi="Arial"/>
          <w:b w:val="false"/>
          <w:bCs w:val="false"/>
          <w:color w:val="000000"/>
          <w:sz w:val="22"/>
          <w:szCs w:val="22"/>
        </w:rPr>
        <w:t xml:space="preserve">Endeudamiento: Ratios de endeudamiento elevados amplifican la vulnerabilidad financiera.</w:t>
      </w:r>
    </w:p>
    <w:p>
      <w:pPr>
        <w:pStyle w:val="Heading2"/>
        <w:spacing w:before="240" w:after="120"/>
      </w:pPr>
      <w:r>
        <w:rPr>
          <w:rFonts w:ascii="Arial" w:cs="Arial" w:eastAsia="Arial" w:hAnsi="Arial"/>
        </w:rPr>
        <w:t xml:space="preserve">3.3 Correlaciones con la variable objetivo</w:t>
      </w:r>
    </w:p>
    <w:p>
      <w:pPr>
        <w:spacing w:after="120"/>
        <w:jc w:val="both"/>
      </w:pPr>
      <w:r>
        <w:rPr>
          <w:rFonts w:ascii="Arial" w:cs="Arial" w:eastAsia="Arial" w:hAnsi="Arial"/>
          <w:b w:val="false"/>
          <w:bCs w:val="false"/>
          <w:color w:val="000000"/>
          <w:sz w:val="22"/>
          <w:szCs w:val="22"/>
        </w:rPr>
        <w:t xml:space="preserve">Las correlaciones más fuertes con la variable de tensión financiera son gp_ratio (positiva), endeudamiento (positiva), cfo (negativa), dias_efectivo (negativa) y liquidez (negativa). Estas direcciones son coherentes con la teoría financiera: mayor gasto relativo, mayor deuda y menor caja predicen deterioro.</w:t>
      </w:r>
    </w:p>
    <w:p>
      <w:r>
        <w:br w:type="page"/>
      </w:r>
    </w:p>
    <w:p>
      <w:pPr>
        <w:pStyle w:val="Heading1"/>
        <w:spacing w:before="240" w:after="120"/>
      </w:pPr>
      <w:r>
        <w:rPr>
          <w:rFonts w:ascii="Arial" w:cs="Arial" w:eastAsia="Arial" w:hAnsi="Arial"/>
        </w:rPr>
        <w:t xml:space="preserve">4. Preparación de Datos y Metodología</w:t>
      </w:r>
    </w:p>
    <w:p>
      <w:pPr>
        <w:spacing w:after="120"/>
        <w:jc w:val="both"/>
      </w:pPr>
      <w:r>
        <w:rPr>
          <w:rFonts w:ascii="Arial" w:cs="Arial" w:eastAsia="Arial" w:hAnsi="Arial"/>
          <w:b w:val="false"/>
          <w:bCs w:val="false"/>
          <w:color w:val="000000"/>
          <w:sz w:val="22"/>
          <w:szCs w:val="22"/>
        </w:rPr>
        <w:t xml:space="preserve">Se aplicaron las siguientes decisiones de preprocesamiento:</w:t>
      </w:r>
    </w:p>
    <w:p>
      <w:pPr>
        <w:spacing w:after="120"/>
        <w:jc w:val="both"/>
      </w:pPr>
      <w:r>
        <w:rPr>
          <w:rFonts w:ascii="Arial" w:cs="Arial" w:eastAsia="Arial" w:hAnsi="Arial"/>
          <w:b w:val="false"/>
          <w:bCs w:val="false"/>
          <w:color w:val="000000"/>
          <w:sz w:val="22"/>
          <w:szCs w:val="22"/>
        </w:rPr>
        <w:t xml:space="preserve">Imputación con mediana: Los valores nulos se reemplazaron con la mediana de cada variable, método robusto a outliers y apropiado para datos financieros.</w:t>
      </w:r>
    </w:p>
    <w:p>
      <w:pPr>
        <w:spacing w:after="120"/>
        <w:jc w:val="both"/>
      </w:pPr>
      <w:r>
        <w:rPr>
          <w:rFonts w:ascii="Arial" w:cs="Arial" w:eastAsia="Arial" w:hAnsi="Arial"/>
          <w:b w:val="false"/>
          <w:bCs w:val="false"/>
          <w:color w:val="000000"/>
          <w:sz w:val="22"/>
          <w:szCs w:val="22"/>
        </w:rPr>
        <w:t xml:space="preserve">No se aplica escalado: Los árboles de decisión y Random Forest son invariantes a transformaciones monótonas, por lo que el escalado es innecesario.</w:t>
      </w:r>
    </w:p>
    <w:p>
      <w:pPr>
        <w:spacing w:after="120"/>
        <w:jc w:val="both"/>
      </w:pPr>
      <w:r>
        <w:rPr>
          <w:rFonts w:ascii="Arial" w:cs="Arial" w:eastAsia="Arial" w:hAnsi="Arial"/>
          <w:b w:val="false"/>
          <w:bCs w:val="false"/>
          <w:color w:val="000000"/>
          <w:sz w:val="22"/>
          <w:szCs w:val="22"/>
        </w:rPr>
        <w:t xml:space="preserve">Exclusión de identificadores: Las variables anio y unidad se excluyeron para evitar data leakage temporal y sobreajuste a unidades específicas.</w:t>
      </w:r>
    </w:p>
    <w:p>
      <w:pPr>
        <w:spacing w:after="120"/>
        <w:jc w:val="both"/>
      </w:pPr>
      <w:r>
        <w:rPr>
          <w:rFonts w:ascii="Arial" w:cs="Arial" w:eastAsia="Arial" w:hAnsi="Arial"/>
          <w:b w:val="false"/>
          <w:bCs w:val="false"/>
          <w:color w:val="000000"/>
          <w:sz w:val="22"/>
          <w:szCs w:val="22"/>
        </w:rPr>
        <w:t xml:space="preserve">Partición estratificada: 75% entrenamiento (60 muestras) y 25% prueba (20 muestras) con estratificación por clase.</w:t>
      </w:r>
    </w:p>
    <w:p>
      <w:pPr>
        <w:spacing w:after="120"/>
        <w:jc w:val="both"/>
      </w:pPr>
      <w:r>
        <w:rPr>
          <w:rFonts w:ascii="Arial" w:cs="Arial" w:eastAsia="Arial" w:hAnsi="Arial"/>
          <w:b w:val="false"/>
          <w:bCs w:val="false"/>
          <w:color w:val="000000"/>
          <w:sz w:val="22"/>
          <w:szCs w:val="22"/>
        </w:rPr>
        <w:t xml:space="preserve">Validación cruzada: StratifiedKFold con 5 folds para evaluar estabilidad.</w:t>
      </w:r>
    </w:p>
    <w:p>
      <w:r>
        <w:br w:type="page"/>
      </w:r>
    </w:p>
    <w:p>
      <w:pPr>
        <w:pStyle w:val="Heading1"/>
        <w:spacing w:before="240" w:after="120"/>
      </w:pPr>
      <w:r>
        <w:rPr>
          <w:rFonts w:ascii="Arial" w:cs="Arial" w:eastAsia="Arial" w:hAnsi="Arial"/>
        </w:rPr>
        <w:t xml:space="preserve">5. Resultados</w:t>
      </w:r>
    </w:p>
    <w:p>
      <w:pPr>
        <w:pStyle w:val="Heading2"/>
        <w:spacing w:before="240" w:after="120"/>
      </w:pPr>
      <w:r>
        <w:rPr>
          <w:rFonts w:ascii="Arial" w:cs="Arial" w:eastAsia="Arial" w:hAnsi="Arial"/>
        </w:rPr>
        <w:t xml:space="preserve">5.1 Modelo 1: Árbol de Decisión</w:t>
      </w:r>
    </w:p>
    <w:p>
      <w:pPr>
        <w:spacing w:after="120"/>
        <w:jc w:val="both"/>
      </w:pPr>
      <w:r>
        <w:rPr>
          <w:rFonts w:ascii="Arial" w:cs="Arial" w:eastAsia="Arial" w:hAnsi="Arial"/>
          <w:b w:val="false"/>
          <w:bCs w:val="false"/>
          <w:color w:val="000000"/>
          <w:sz w:val="22"/>
          <w:szCs w:val="22"/>
        </w:rPr>
        <w:t xml:space="preserve">El árbol de decisión fue optimizado mediante GridSearchCV, obteniendo como mejores hiperparámetros: criterion=gini, max_depth=5, min_samples_leaf=3, min_samples_split=2. El modelo alcanzó un Accuracy de 0.60, F1-Score de 0.60 y ROC-AUC de 0.65 en el conjunto de prueba.</w:t>
      </w:r>
    </w:p>
    <w:p>
      <w:pPr>
        <w:spacing w:after="120"/>
        <w:jc w:val="both"/>
      </w:pPr>
      <w:r>
        <w:rPr>
          <w:rFonts w:ascii="Arial" w:cs="Arial" w:eastAsia="Arial" w:hAnsi="Arial"/>
          <w:b w:val="false"/>
          <w:bCs w:val="false"/>
          <w:color w:val="000000"/>
          <w:sz w:val="22"/>
          <w:szCs w:val="22"/>
        </w:rPr>
        <w:t xml:space="preserve">El árbol utiliza como primer split la variable dias_efectivo, seguido de cfo y gp_ratio, lo cual es coherente con la importancia financiera de estas variables. Sin embargo, se observa una brecha significativa entre el rendimiento en train (~0.95) y test (0.60), indicando overfitting moderado.</w:t>
      </w:r>
    </w:p>
    <w:p>
      <w:pPr>
        <w:pStyle w:val="Heading2"/>
        <w:spacing w:before="240" w:after="120"/>
      </w:pPr>
      <w:r>
        <w:rPr>
          <w:rFonts w:ascii="Arial" w:cs="Arial" w:eastAsia="Arial" w:hAnsi="Arial"/>
        </w:rPr>
        <w:t xml:space="preserve">5.2 Modelo 2: Random Forest</w:t>
      </w:r>
    </w:p>
    <w:p>
      <w:pPr>
        <w:spacing w:after="120"/>
        <w:jc w:val="both"/>
      </w:pPr>
      <w:r>
        <w:rPr>
          <w:rFonts w:ascii="Arial" w:cs="Arial" w:eastAsia="Arial" w:hAnsi="Arial"/>
          <w:b w:val="false"/>
          <w:bCs w:val="false"/>
          <w:color w:val="000000"/>
          <w:sz w:val="22"/>
          <w:szCs w:val="22"/>
        </w:rPr>
        <w:t xml:space="preserve">El Random Forest, optimizado con GridSearchCV, utiliza n_estimators=50, max_depth=5, min_samples_leaf=3, min_samples_split=10 y max_features=sqrt. Este modelo logró el mejor desempeño general: Accuracy de 0.75, F1-Score de 0.74 y un ROC-AUC de 0.87.</w:t>
      </w:r>
    </w:p>
    <w:p>
      <w:pPr>
        <w:spacing w:after="120"/>
        <w:jc w:val="both"/>
      </w:pPr>
      <w:r>
        <w:rPr>
          <w:rFonts w:ascii="Arial" w:cs="Arial" w:eastAsia="Arial" w:hAnsi="Arial"/>
          <w:b w:val="false"/>
          <w:bCs w:val="false"/>
          <w:color w:val="000000"/>
          <w:sz w:val="22"/>
          <w:szCs w:val="22"/>
        </w:rPr>
        <w:t xml:space="preserve">La mejora frente al árbol individual es sustancial y se explica por la reducción de varianza que provee el ensamble de múltiples árboles. El ROC-AUC de 0.87 indica una excelente capacidad de discriminación entre periodos de tensión y normalidad.</w:t>
      </w:r>
    </w:p>
    <w:p>
      <w:pPr>
        <w:pStyle w:val="Heading2"/>
        <w:spacing w:before="240" w:after="120"/>
      </w:pPr>
      <w:r>
        <w:rPr>
          <w:rFonts w:ascii="Arial" w:cs="Arial" w:eastAsia="Arial" w:hAnsi="Arial"/>
        </w:rPr>
        <w:t xml:space="preserve">5.3 Modelo de referencia: Gradient Boosting</w:t>
      </w:r>
    </w:p>
    <w:p>
      <w:pPr>
        <w:spacing w:after="120"/>
        <w:jc w:val="both"/>
      </w:pPr>
      <w:r>
        <w:rPr>
          <w:rFonts w:ascii="Arial" w:cs="Arial" w:eastAsia="Arial" w:hAnsi="Arial"/>
          <w:b w:val="false"/>
          <w:bCs w:val="false"/>
          <w:color w:val="000000"/>
          <w:sz w:val="22"/>
          <w:szCs w:val="22"/>
        </w:rPr>
        <w:t xml:space="preserve">El Gradient Boosting, entrenado con 100 estimadores y profundidad 3, obtuvo Accuracy de 0.65, F1-Score de 0.59 y ROC-AUC de 0.68. Este resultado es inferior al Random Forest, probablemente debido al tamaño reducido del dataset (80 observaciones), donde el boosting secuencial tiende a sobreajustar más que el bagging.</w:t>
      </w:r>
    </w:p>
    <w:p>
      <w:pPr>
        <w:pStyle w:val="Heading2"/>
        <w:spacing w:before="240" w:after="120"/>
      </w:pPr>
      <w:r>
        <w:rPr>
          <w:rFonts w:ascii="Arial" w:cs="Arial" w:eastAsia="Arial" w:hAnsi="Arial"/>
        </w:rPr>
        <w:t xml:space="preserve">5.4 Tabla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Acc</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Acc</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Tree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0.9500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0.5455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0.6667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0.6515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0.9833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0.7500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0.7000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0.7778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0.7368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0.8687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Boosting</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0.6500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0.6250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0.5556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0.5882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0.6768</w:t>
            </w:r>
          </w:p>
        </w:tc>
      </w:tr>
    </w:tbl>
    <w:p>
      <w:pPr>
        <w:spacing w:after="200"/>
      </w:pPr>
    </w:p>
    <w:p>
      <w:pPr>
        <w:pStyle w:val="Heading2"/>
        <w:spacing w:before="240" w:after="120"/>
      </w:pPr>
      <w:r>
        <w:rPr>
          <w:rFonts w:ascii="Arial" w:cs="Arial" w:eastAsia="Arial" w:hAnsi="Arial"/>
        </w:rPr>
        <w:t xml:space="preserve">5.5 Validación cruzada</w:t>
      </w:r>
    </w:p>
    <w:p>
      <w:pPr>
        <w:spacing w:after="120"/>
        <w:jc w:val="both"/>
      </w:pPr>
      <w:r>
        <w:rPr>
          <w:rFonts w:ascii="Arial" w:cs="Arial" w:eastAsia="Arial" w:hAnsi="Arial"/>
          <w:b w:val="false"/>
          <w:bCs w:val="false"/>
          <w:color w:val="000000"/>
          <w:sz w:val="22"/>
          <w:szCs w:val="22"/>
        </w:rPr>
        <w:t xml:space="preserve">La validación cruzada estratificada (5 folds) confirma la superioridad del Random Forest con un F1 medio de 0.68 y la menor variabilidad de los tres modelos. El Gradient Boosting muestra un F1 medio similar (0.70) pero con la mayor brecha entre train y test, mientras que el árbol de decisión presenta la mayor variabilidad (std = 0.15).</w:t>
      </w:r>
    </w:p>
    <w:p>
      <w:r>
        <w:br w:type="page"/>
      </w:r>
    </w:p>
    <w:p>
      <w:pPr>
        <w:pStyle w:val="Heading1"/>
        <w:spacing w:before="240" w:after="120"/>
      </w:pPr>
      <w:r>
        <w:rPr>
          <w:rFonts w:ascii="Arial" w:cs="Arial" w:eastAsia="Arial" w:hAnsi="Arial"/>
        </w:rPr>
        <w:t xml:space="preserve">6. Importancia de Variables e Interpretación Financiera</w:t>
      </w:r>
    </w:p>
    <w:p>
      <w:pPr>
        <w:pStyle w:val="Heading2"/>
        <w:spacing w:before="240" w:after="120"/>
      </w:pPr>
      <w:r>
        <w:rPr>
          <w:rFonts w:ascii="Arial" w:cs="Arial" w:eastAsia="Arial" w:hAnsi="Arial"/>
        </w:rPr>
        <w:t xml:space="preserve">6.1 Ranking de importancia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1600"/>
        <w:gridCol w:w="378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Importancia</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 financiera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cfo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17.6%</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Generación de caja operativa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gp_ratio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Presión de nómina sobre ingresos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dias_efectivo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Reservas de liquidez inmediata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endeudamiento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Nivel de apalancamiento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tendencia_ingresos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7.7%</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Dirección del flujo de ingresos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liquidez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7.7%</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Capacidad de pago corriente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hhi_fuentes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5.7%</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Concentración de fuentes de ingreso</w:t>
            </w:r>
          </w:p>
        </w:tc>
      </w:tr>
    </w:tbl>
    <w:p>
      <w:pPr>
        <w:spacing w:after="200"/>
      </w:pPr>
    </w:p>
    <w:p>
      <w:pPr>
        <w:pStyle w:val="Heading2"/>
        <w:spacing w:before="240" w:after="120"/>
      </w:pPr>
      <w:r>
        <w:rPr>
          <w:rFonts w:ascii="Arial" w:cs="Arial" w:eastAsia="Arial" w:hAnsi="Arial"/>
        </w:rPr>
        <w:t xml:space="preserve">6.2 Lectura institucional</w:t>
      </w:r>
    </w:p>
    <w:p>
      <w:pPr>
        <w:spacing w:after="120"/>
        <w:jc w:val="both"/>
      </w:pPr>
      <w:r>
        <w:rPr>
          <w:rFonts w:ascii="Arial" w:cs="Arial" w:eastAsia="Arial" w:hAnsi="Arial"/>
          <w:b w:val="false"/>
          <w:bCs w:val="false"/>
          <w:color w:val="000000"/>
          <w:sz w:val="22"/>
          <w:szCs w:val="22"/>
        </w:rPr>
        <w:t xml:space="preserve">CFO como variable dominante: La generación de caja operativa es el indicador más determinante del riesgo financiero. Un CFO negativo sostenido indica que la UdeA no genera suficiente efectivo con sus operaciones para cubrir obligaciones corrientes. La administración debe monitorear esta métrica con frecuencia trimestral.</w:t>
      </w:r>
    </w:p>
    <w:p>
      <w:pPr>
        <w:spacing w:after="120"/>
        <w:jc w:val="both"/>
      </w:pPr>
      <w:r>
        <w:rPr>
          <w:rFonts w:ascii="Arial" w:cs="Arial" w:eastAsia="Arial" w:hAnsi="Arial"/>
          <w:b w:val="false"/>
          <w:bCs w:val="false"/>
          <w:color w:val="000000"/>
          <w:sz w:val="22"/>
          <w:szCs w:val="22"/>
        </w:rPr>
        <w:t xml:space="preserve">Presión del gasto de personal: El gp_ratio como segunda variable más importante confirma que la rigidez presupuestal por nómina es un factor estructural de riesgo. Cuando los gastos de personal superan el 55% de los ingresos, la probabilidad de tensión aumenta significativamente.</w:t>
      </w:r>
    </w:p>
    <w:p>
      <w:pPr>
        <w:spacing w:after="120"/>
        <w:jc w:val="both"/>
      </w:pPr>
      <w:r>
        <w:rPr>
          <w:rFonts w:ascii="Arial" w:cs="Arial" w:eastAsia="Arial" w:hAnsi="Arial"/>
          <w:b w:val="false"/>
          <w:bCs w:val="false"/>
          <w:color w:val="000000"/>
          <w:sz w:val="22"/>
          <w:szCs w:val="22"/>
        </w:rPr>
        <w:t xml:space="preserve">Días de efectivo como buffer: Una universidad pública con menos de 30-60 días de efectivo enfrenta riesgo de incumplir nómina o compromisos con proveedores. El modelo identifica este umbral como crítico.</w:t>
      </w:r>
    </w:p>
    <w:p>
      <w:pPr>
        <w:spacing w:after="120"/>
        <w:jc w:val="both"/>
      </w:pPr>
      <w:r>
        <w:rPr>
          <w:rFonts w:ascii="Arial" w:cs="Arial" w:eastAsia="Arial" w:hAnsi="Arial"/>
          <w:b w:val="false"/>
          <w:bCs w:val="false"/>
          <w:color w:val="000000"/>
          <w:sz w:val="22"/>
          <w:szCs w:val="22"/>
        </w:rPr>
        <w:t xml:space="preserve">Diversificación de fuentes: Aunque el HHI tiene una importancia moderada (5.7%), su presencia en el ranking confirma que la dependencia excesiva de pocas fuentes (principalmente Ley 30) incrementa la vulnerabilidad ante cambios regulatorios.</w:t>
      </w:r>
    </w:p>
    <w:p>
      <w:r>
        <w:br w:type="page"/>
      </w:r>
    </w:p>
    <w:p>
      <w:pPr>
        <w:pStyle w:val="Heading1"/>
        <w:spacing w:before="240" w:after="120"/>
      </w:pPr>
      <w:r>
        <w:rPr>
          <w:rFonts w:ascii="Arial" w:cs="Arial" w:eastAsia="Arial" w:hAnsi="Arial"/>
        </w:rPr>
        <w:t xml:space="preserve">7. Conclusiones</w:t>
      </w:r>
    </w:p>
    <w:p>
      <w:pPr>
        <w:pStyle w:val="Heading2"/>
        <w:spacing w:before="240" w:after="120"/>
      </w:pPr>
      <w:r>
        <w:rPr>
          <w:rFonts w:ascii="Arial" w:cs="Arial" w:eastAsia="Arial" w:hAnsi="Arial"/>
        </w:rPr>
        <w:t xml:space="preserve">7.1 Conclusiones técnicas</w:t>
      </w:r>
    </w:p>
    <w:p>
      <w:pPr>
        <w:spacing w:after="120"/>
        <w:jc w:val="both"/>
      </w:pPr>
      <w:r>
        <w:rPr>
          <w:rFonts w:ascii="Arial" w:cs="Arial" w:eastAsia="Arial" w:hAnsi="Arial"/>
          <w:b w:val="false"/>
          <w:bCs w:val="false"/>
          <w:color w:val="000000"/>
          <w:sz w:val="22"/>
          <w:szCs w:val="22"/>
        </w:rPr>
        <w:t xml:space="preserve">Random Forest es el modelo ganador con el mejor desempeño en todas las métricas evaluadas: Accuracy (0.75), F1-Score (0.74) y ROC-AUC (0.87). Superó tanto al árbol de decisión individual como al Gradient Boosting de referencia.</w:t>
      </w:r>
    </w:p>
    <w:p>
      <w:pPr>
        <w:spacing w:after="120"/>
        <w:jc w:val="both"/>
      </w:pPr>
      <w:r>
        <w:rPr>
          <w:rFonts w:ascii="Arial" w:cs="Arial" w:eastAsia="Arial" w:hAnsi="Arial"/>
          <w:b w:val="false"/>
          <w:bCs w:val="false"/>
          <w:color w:val="000000"/>
          <w:sz w:val="22"/>
          <w:szCs w:val="22"/>
        </w:rPr>
        <w:t xml:space="preserve">El árbol de decisión ofrece la mayor interpretabilidad pero sufre de overfitting significativo con datasets pequeños. El Gradient Boosting, a pesar de ser un modelo sofisticado, no logró superar al Random Forest debido al tamaño limitado de la muestra (80 observaciones).</w:t>
      </w:r>
    </w:p>
    <w:p>
      <w:pPr>
        <w:spacing w:after="120"/>
        <w:jc w:val="both"/>
      </w:pPr>
      <w:r>
        <w:rPr>
          <w:rFonts w:ascii="Arial" w:cs="Arial" w:eastAsia="Arial" w:hAnsi="Arial"/>
          <w:b w:val="false"/>
          <w:bCs w:val="false"/>
          <w:color w:val="000000"/>
          <w:sz w:val="22"/>
          <w:szCs w:val="22"/>
        </w:rPr>
        <w:t xml:space="preserve">La validación cruzada confirma la estabilidad del Random Forest como el modelo más confiable para este caso de uso, con menor variabilidad entre folds.</w:t>
      </w:r>
    </w:p>
    <w:p>
      <w:pPr>
        <w:pStyle w:val="Heading2"/>
        <w:spacing w:before="240" w:after="120"/>
      </w:pPr>
      <w:r>
        <w:rPr>
          <w:rFonts w:ascii="Arial" w:cs="Arial" w:eastAsia="Arial" w:hAnsi="Arial"/>
        </w:rPr>
        <w:t xml:space="preserve">7.2 Conclusiones financieras e institucionales</w:t>
      </w:r>
    </w:p>
    <w:p>
      <w:pPr>
        <w:spacing w:after="120"/>
        <w:jc w:val="both"/>
      </w:pPr>
      <w:r>
        <w:rPr>
          <w:rFonts w:ascii="Arial" w:cs="Arial" w:eastAsia="Arial" w:hAnsi="Arial"/>
          <w:b w:val="false"/>
          <w:bCs w:val="false"/>
          <w:color w:val="000000"/>
          <w:sz w:val="22"/>
          <w:szCs w:val="22"/>
        </w:rPr>
        <w:t xml:space="preserve">Los factores que mejor explican el riesgo financiero de la UdeA son, en orden de importancia: flujo de caja operativo (CFO), ratio de gastos de personal, días de efectivo disponible, endeudamiento y tendencia de ingresos.</w:t>
      </w:r>
    </w:p>
    <w:p>
      <w:pPr>
        <w:spacing w:after="120"/>
        <w:jc w:val="both"/>
      </w:pPr>
      <w:r>
        <w:rPr>
          <w:rFonts w:ascii="Arial" w:cs="Arial" w:eastAsia="Arial" w:hAnsi="Arial"/>
          <w:b w:val="false"/>
          <w:bCs w:val="false"/>
          <w:color w:val="000000"/>
          <w:sz w:val="22"/>
          <w:szCs w:val="22"/>
        </w:rPr>
        <w:t xml:space="preserve">El modelo puede servir como herramienta de monitoreo y alerta temprana: al alimentar los indicadores actualizados cada trimestre o semestre, el sistema puede señalar qué unidades se encuentran en riesgo de tensión financiera.</w:t>
      </w:r>
    </w:p>
    <w:p>
      <w:pPr>
        <w:spacing w:after="120"/>
        <w:jc w:val="both"/>
      </w:pPr>
      <w:r>
        <w:rPr>
          <w:rFonts w:ascii="Arial" w:cs="Arial" w:eastAsia="Arial" w:hAnsi="Arial"/>
          <w:b w:val="false"/>
          <w:bCs w:val="false"/>
          <w:color w:val="000000"/>
          <w:sz w:val="22"/>
          <w:szCs w:val="22"/>
        </w:rPr>
        <w:t xml:space="preserve">Se recomienda a la administración universitaria implementar un dashboard de indicadores con los umbrales críticos identificados: CFO negativo sostenido, gp_ratio superior a 0.55, días de efectivo inferiores a 60 y endeudamiento creciente.</w:t>
      </w:r>
    </w:p>
    <w:p>
      <w:pPr>
        <w:pStyle w:val="Heading2"/>
        <w:spacing w:before="240" w:after="120"/>
      </w:pPr>
      <w:r>
        <w:rPr>
          <w:rFonts w:ascii="Arial" w:cs="Arial" w:eastAsia="Arial" w:hAnsi="Arial"/>
        </w:rPr>
        <w:t xml:space="preserve">7.3 Recomendaciones</w:t>
      </w:r>
    </w:p>
    <w:p>
      <w:pPr>
        <w:spacing w:after="120"/>
        <w:jc w:val="both"/>
      </w:pPr>
      <w:r>
        <w:rPr>
          <w:rFonts w:ascii="Arial" w:cs="Arial" w:eastAsia="Arial" w:hAnsi="Arial"/>
          <w:b w:val="false"/>
          <w:bCs w:val="false"/>
          <w:color w:val="000000"/>
          <w:sz w:val="22"/>
          <w:szCs w:val="22"/>
        </w:rPr>
        <w:t xml:space="preserve">(1) Implementar el Random Forest como modelo operativo de alerta temprana financiera, actualizando los indicadores con frecuencia trimestral.</w:t>
      </w:r>
    </w:p>
    <w:p>
      <w:pPr>
        <w:spacing w:after="120"/>
        <w:jc w:val="both"/>
      </w:pPr>
      <w:r>
        <w:rPr>
          <w:rFonts w:ascii="Arial" w:cs="Arial" w:eastAsia="Arial" w:hAnsi="Arial"/>
          <w:b w:val="false"/>
          <w:bCs w:val="false"/>
          <w:color w:val="000000"/>
          <w:sz w:val="22"/>
          <w:szCs w:val="22"/>
        </w:rPr>
        <w:t xml:space="preserve">(2) Priorizar la generación de caja operativa y la contención del gasto de personal como ejes de la política de sostenibilidad.</w:t>
      </w:r>
    </w:p>
    <w:p>
      <w:pPr>
        <w:spacing w:after="120"/>
        <w:jc w:val="both"/>
      </w:pPr>
      <w:r>
        <w:rPr>
          <w:rFonts w:ascii="Arial" w:cs="Arial" w:eastAsia="Arial" w:hAnsi="Arial"/>
          <w:b w:val="false"/>
          <w:bCs w:val="false"/>
          <w:color w:val="000000"/>
          <w:sz w:val="22"/>
          <w:szCs w:val="22"/>
        </w:rPr>
        <w:t xml:space="preserve">(3) Diversificar las fuentes de ingreso para reducir la dependencia de la Ley 30 y mitigar el riesgo de concentración.</w:t>
      </w:r>
    </w:p>
    <w:p>
      <w:pPr>
        <w:spacing w:after="120"/>
        <w:jc w:val="both"/>
      </w:pPr>
      <w:r>
        <w:rPr>
          <w:rFonts w:ascii="Arial" w:cs="Arial" w:eastAsia="Arial" w:hAnsi="Arial"/>
          <w:b w:val="false"/>
          <w:bCs w:val="false"/>
          <w:color w:val="000000"/>
          <w:sz w:val="22"/>
          <w:szCs w:val="22"/>
        </w:rPr>
        <w:t xml:space="preserve">(4) Mantener reservas de liquidez (días de efectivo) por encima de 60 días como política preventiva.</w:t>
      </w:r>
    </w:p>
    <w:p>
      <w:pPr>
        <w:spacing w:after="120"/>
        <w:jc w:val="both"/>
      </w:pPr>
      <w:r>
        <w:rPr>
          <w:rFonts w:ascii="Arial" w:cs="Arial" w:eastAsia="Arial" w:hAnsi="Arial"/>
          <w:b w:val="false"/>
          <w:bCs w:val="false"/>
          <w:color w:val="000000"/>
          <w:sz w:val="22"/>
          <w:szCs w:val="22"/>
        </w:rPr>
        <w:t xml:space="preserve">(5) Ampliar el dataset con datos reales y mayor granularidad temporal para mejorar la robustez del modelo.</w:t>
      </w:r>
    </w:p>
    <w:p>
      <w:pPr>
        <w:pStyle w:val="Heading2"/>
        <w:spacing w:before="240" w:after="120"/>
      </w:pPr>
      <w:r>
        <w:rPr>
          <w:rFonts w:ascii="Arial" w:cs="Arial" w:eastAsia="Arial" w:hAnsi="Arial"/>
        </w:rPr>
        <w:t xml:space="preserve">7.4 Limitaciones y trabajo futuro</w:t>
      </w:r>
    </w:p>
    <w:p>
      <w:pPr>
        <w:spacing w:after="120"/>
        <w:jc w:val="both"/>
      </w:pPr>
      <w:r>
        <w:rPr>
          <w:rFonts w:ascii="Arial" w:cs="Arial" w:eastAsia="Arial" w:hAnsi="Arial"/>
          <w:b w:val="false"/>
          <w:bCs w:val="false"/>
          <w:color w:val="000000"/>
          <w:sz w:val="22"/>
          <w:szCs w:val="22"/>
        </w:rPr>
        <w:t xml:space="preserve">El dataset es sintético y contiene solo 80 observaciones. Con datos reales y mayor volumen, se esperan resultados más robustos. Se recomienda explorar SHAP values para interpretación granular, incorporar variables macroeconómicas y considerar validación temporal con TimeSeriesSplit cuando se disponga de series más largas.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Página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jc w:val="right"/>
    </w:pPr>
    <w:r>
      <w:rPr>
        <w:rFonts w:ascii="Arial" w:cs="Arial" w:eastAsia="Arial" w:hAnsi="Arial"/>
        <w:i/>
        <w:iCs/>
        <w:color w:val="7F8C8D"/>
        <w:sz w:val="18"/>
        <w:szCs w:val="18"/>
      </w:rPr>
      <w:t xml:space="preserve">FIRE-UdeA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2026-03-10T18:02:56.220Z</dcterms:created>
  <dcterms:modified xsi:type="dcterms:W3CDTF">2026-03-10T18:02:56.221Z</dcterms:modified>
</cp:coreProperties>
</file>

<file path=docProps/custom.xml><?xml version="1.0" encoding="utf-8"?>
<Properties xmlns="http://schemas.openxmlformats.org/officeDocument/2006/custom-properties" xmlns:vt="http://schemas.openxmlformats.org/officeDocument/2006/docPropsVTypes"/>
</file>