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5953"/>
      </w:tblGrid>
      <w:tr>
        <w:tc>
          <w:tcPr>
            <w:tcW w:type="dxa" w:w="5273"/>
          </w:tcPr>
          <w:p>
            <w:r>
              <w:drawing>
                <wp:inline xmlns:a="http://schemas.openxmlformats.org/drawingml/2006/main" xmlns:pic="http://schemas.openxmlformats.org/drawingml/2006/picture">
                  <wp:extent cx="1512000" cy="50593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5059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3"/>
          </w:tcPr>
          <w:p>
            <w:pPr>
              <w:jc w:val="right"/>
            </w:pPr>
            <w:r>
              <w:rPr>
                <w:b/>
                <w:color w:val="000000"/>
                <w:sz w:val="24"/>
              </w:rPr>
              <w:t>CONSTANCIA DE ENTREGA / RECEPCIÓN DE BIENES</w:t>
            </w:r>
            <w:r>
              <w:rPr>
                <w:sz w:val="14"/>
              </w:rPr>
              <w:br/>
              <w:t>{{FOLIO_CONSTANCIA}}</w:t>
              <w:br/>
              <w:t>Fecha: {{FECHA_CONSTANCIA}}</w:t>
            </w:r>
          </w:p>
        </w:tc>
      </w:tr>
    </w:tbl>
    <w:p>
      <w:pPr>
        <w:jc w:val="center"/>
      </w:pPr>
      <w:r>
        <w:rPr>
          <w:b/>
          <w:sz w:val="16"/>
        </w:rPr>
        <w:t>MERCACOBRA, S.A.P.I. DE C.V. | RFC: MCO200710YV8</w:t>
      </w:r>
    </w:p>
    <w:p>
      <w:pPr>
        <w:spacing w:before="60" w:after="40"/>
      </w:pPr>
      <w:r>
        <w:rPr>
          <w:b/>
          <w:color w:val="000000"/>
          <w:sz w:val="16"/>
        </w:rPr>
        <w:t>TRAZABILIDAD DE LA OPERACIÓN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Folio constancia</w:t>
              <w:br/>
              <w:t>{{constanciaFolio}}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Cotización</w:t>
              <w:br/>
              <w:t>{{cotizacionFolio}}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Orden de compra</w:t>
              <w:br/>
              <w:t>{{ocFolio}}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Solicitud PAY0</w:t>
              <w:br/>
              <w:t>{{solicitudFolio}}</w:t>
            </w:r>
          </w:p>
        </w:tc>
      </w:tr>
      <w:tr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Factura / UUID</w:t>
              <w:br/>
              <w:t>{{cfdiUuid}}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Folio IQ</w:t>
              <w:br/>
              <w:t>{{iqFolio}}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Fecha</w:t>
              <w:br/>
              <w:t>{{fechaConstancia}}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Expediente</w:t>
              <w:br/>
              <w:t>{{expedienteId}}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RECEPTOR / CLIENTE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Cliente / Razón social</w:t>
              <w:br/>
              <w:t>{{clienteNombre}}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RFC</w:t>
              <w:br/>
              <w:t>{{clienteRfc}}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Contacto</w:t>
              <w:br/>
              <w:t>{{receptorNombre}}</w:t>
            </w:r>
          </w:p>
        </w:tc>
      </w:tr>
      <w:tr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Domicilio / lugar</w:t>
              <w:br/>
              <w:t>{{domicilioEjecucionEntrega}}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Cargo</w:t>
              <w:br/>
              <w:t>{{receptorCargo}}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Fecha y hora</w:t>
              <w:br/>
              <w:t>{{fechaHoraActo}}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BIENES ENTREGADOS Y RECIBIDOS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Cant.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Unidad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Descripción / identificación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Serie / lote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Estado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{{cantidad1}}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{{descripcionBien1}}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{{serieLote1}}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{{estado1}}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{{cantidad2}}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{{descripcionBien2}}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{{serieLote2}}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{{estado2}}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{{cantidad3}}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{{descripcionBien3}}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{{serieLote3}}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{{estado3}}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ENTREGA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{{tipoEntrega}} - {{entregaCompletaParcial}}</w:t>
            </w:r>
          </w:p>
        </w:tc>
      </w:tr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OBSERVACIONES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{{observacionesRecepcion}}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EVIDENCIA Y ACEPTACIÓN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Evidencias: {{evidenciaIds}}</w:t>
              <w:br/>
              <w:t>Ubicación: {{ubicacionEvidencia}}</w:t>
              <w:br/>
              <w:t>Hash expediente: {{sha256Expediente}}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QR</w:t>
              <w:br/>
              <w:t>{{verificationUrl}}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ENTREGA / PRESTA</w:t>
              <w:br/>
              <w:t>{{empresaRepresentante}}</w:t>
              <w:br/>
              <w:t>{{empresaCargo}}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RECIBE / ACEPTA</w:t>
              <w:br/>
              <w:t>{{receptorNombre}}</w:t>
              <w:br/>
              <w:t>{{receptorCargo}}</w:t>
            </w:r>
          </w:p>
        </w:tc>
      </w:tr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Firma autorizada / sello digital PAY0</w:t>
              <w:br/>
              <w:t>{{firmaEmpresa}}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Firma manuscrita o aceptación electrónica</w:t>
              <w:br/>
              <w:t>{{firmaReceptor}}</w:t>
            </w:r>
          </w:p>
        </w:tc>
      </w:tr>
    </w:tbl>
    <w:p>
      <w:pPr>
        <w:jc w:val="center"/>
      </w:pPr>
      <w:r>
        <w:rPr>
          <w:color w:val="000000"/>
          <w:sz w:val="12"/>
        </w:rPr>
        <w:t>PAY0 | Materialidad 2.0 | Plantilla canónica v1.1 | QR y hash únicos por operación</w:t>
      </w:r>
    </w:p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