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3DB9" w14:textId="77777777" w:rsidR="001E27BA" w:rsidRDefault="00000000">
      <w:pPr>
        <w:pStyle w:val="Title"/>
      </w:pPr>
      <w:r>
        <w:t>Growth yields and light-capture in PhycoCyanin and PhycoErythrin-rich picocyanobacteria, across photic regimes and growth phases</w:t>
      </w:r>
    </w:p>
    <w:p w14:paraId="310D1109" w14:textId="77777777" w:rsidR="00854B64" w:rsidRDefault="00854B64">
      <w:pPr>
        <w:pStyle w:val="Author"/>
      </w:pPr>
    </w:p>
    <w:p w14:paraId="21ABCD78" w14:textId="6DAF7528" w:rsidR="001E27BA" w:rsidRDefault="00000000">
      <w:pPr>
        <w:pStyle w:val="Author"/>
      </w:pPr>
      <w:r>
        <w:t>Sylwia Śliwińska-Wilczewska</w:t>
      </w:r>
      <w:r>
        <w:rPr>
          <w:vertAlign w:val="superscript"/>
        </w:rPr>
        <w:t>1,2</w:t>
      </w:r>
      <w:r>
        <w:t>, Marta Konik</w:t>
      </w:r>
      <w:r>
        <w:rPr>
          <w:vertAlign w:val="superscript"/>
        </w:rPr>
        <w:t>3,4</w:t>
      </w:r>
      <w:r>
        <w:t>, Mireille Savoie</w:t>
      </w:r>
      <w:r>
        <w:rPr>
          <w:vertAlign w:val="superscript"/>
        </w:rPr>
        <w:t>1</w:t>
      </w:r>
      <w:r>
        <w:t>, Anabella Aguilera</w:t>
      </w:r>
      <w:r>
        <w:rPr>
          <w:vertAlign w:val="superscript"/>
        </w:rPr>
        <w:t>5,6</w:t>
      </w:r>
      <w:r>
        <w:t>, Naaman M. Omar</w:t>
      </w:r>
      <w:r>
        <w:rPr>
          <w:vertAlign w:val="superscript"/>
        </w:rPr>
        <w:t>1</w:t>
      </w:r>
      <w:r>
        <w:t>, and Douglas A. Campbell</w:t>
      </w:r>
      <w:proofErr w:type="gramStart"/>
      <w:r>
        <w:rPr>
          <w:vertAlign w:val="superscript"/>
        </w:rPr>
        <w:t>1,</w:t>
      </w:r>
      <w:r w:rsidR="00854B64">
        <w:rPr>
          <w:vertAlign w:val="superscript"/>
        </w:rPr>
        <w:t>*</w:t>
      </w:r>
      <w:proofErr w:type="gramEnd"/>
    </w:p>
    <w:p w14:paraId="271FFC23" w14:textId="77777777" w:rsidR="00854B64" w:rsidRDefault="00854B64" w:rsidP="00854B64">
      <w:pPr>
        <w:pStyle w:val="FirstParagraph"/>
        <w:ind w:firstLine="0"/>
        <w:rPr>
          <w:vertAlign w:val="superscript"/>
        </w:rPr>
      </w:pPr>
    </w:p>
    <w:p w14:paraId="56F63C00" w14:textId="46BEF73F" w:rsidR="001E27BA" w:rsidRDefault="00000000" w:rsidP="00854B64">
      <w:pPr>
        <w:pStyle w:val="FirstParagraph"/>
        <w:ind w:firstLine="0"/>
      </w:pPr>
      <w:r>
        <w:rPr>
          <w:vertAlign w:val="superscript"/>
        </w:rPr>
        <w:t>1</w:t>
      </w:r>
      <w:r>
        <w:t xml:space="preserve"> Department of Biology, Mount Allison University, 53 York St., Sackville, NB, E4L 1C9, Canada</w:t>
      </w:r>
      <w:r>
        <w:br/>
      </w:r>
      <w:r>
        <w:rPr>
          <w:vertAlign w:val="superscript"/>
        </w:rPr>
        <w:t>2</w:t>
      </w:r>
      <w:r>
        <w:t xml:space="preserve"> Institute of Oceanography, University of Gdansk, 46 Pilsudskiego St, P81-378, Gdynia, Poland</w:t>
      </w:r>
      <w:r>
        <w:br/>
      </w:r>
      <w:r>
        <w:rPr>
          <w:vertAlign w:val="superscript"/>
        </w:rPr>
        <w:t>3</w:t>
      </w:r>
      <w:r>
        <w:t xml:space="preserve"> Department of Geography, University of Victoria, Victoria, BC, V8P 5C2, Canada</w:t>
      </w:r>
      <w:r>
        <w:br/>
      </w:r>
      <w:r>
        <w:rPr>
          <w:vertAlign w:val="superscript"/>
        </w:rPr>
        <w:t>4</w:t>
      </w:r>
      <w:r>
        <w:t xml:space="preserve"> Institute of Oceanology, Polish Academy of Sciences, 81-712 Sopot, Poland</w:t>
      </w:r>
      <w:r>
        <w:br/>
      </w:r>
      <w:r>
        <w:rPr>
          <w:vertAlign w:val="superscript"/>
        </w:rPr>
        <w:t>5</w:t>
      </w:r>
      <w:r>
        <w:t xml:space="preserve"> Department of Biology and Environmental Science, Centre for Ecology and Evolution in Microbial Model Systems (EEMiS), Linnaeus University, Kalmar, Sweden</w:t>
      </w:r>
      <w:r>
        <w:br/>
      </w:r>
      <w:r>
        <w:rPr>
          <w:vertAlign w:val="superscript"/>
        </w:rPr>
        <w:t>6</w:t>
      </w:r>
      <w:r>
        <w:t xml:space="preserve"> Department of Aquatic Sciences and Assessment, Swedish University of Agricultural Sciences, Uppsala, Sweden (present address)</w:t>
      </w:r>
    </w:p>
    <w:p w14:paraId="3F68A9D0" w14:textId="1EE1D5CB" w:rsidR="001E27BA" w:rsidRDefault="00854B64" w:rsidP="00854B64">
      <w:pPr>
        <w:pStyle w:val="BodyText"/>
        <w:ind w:firstLine="0"/>
      </w:pPr>
      <w:r>
        <w:rPr>
          <w:vertAlign w:val="superscript"/>
        </w:rPr>
        <w:t>*</w:t>
      </w:r>
      <w:r>
        <w:t xml:space="preserve"> Correspondence: </w:t>
      </w:r>
      <w:hyperlink r:id="rId7">
        <w:r>
          <w:rPr>
            <w:rStyle w:val="Hyperlink"/>
          </w:rPr>
          <w:t>Douglas A. Campbell &lt;</w:t>
        </w:r>
        <w:hyperlink r:id="rId8">
          <w:r>
            <w:rPr>
              <w:rStyle w:val="Hyperlink"/>
            </w:rPr>
            <w:t>dubhglascambeuil@gmail.com</w:t>
          </w:r>
        </w:hyperlink>
        <w:r>
          <w:rPr>
            <w:rStyle w:val="Hyperlink"/>
          </w:rPr>
          <w:t>&gt;</w:t>
        </w:r>
      </w:hyperlink>
    </w:p>
    <w:p w14:paraId="2D4753ED" w14:textId="77777777" w:rsidR="001E27BA" w:rsidRDefault="001E27BA">
      <w:pPr>
        <w:pStyle w:val="BodyText"/>
      </w:pPr>
    </w:p>
    <w:p w14:paraId="26B4AB5E" w14:textId="5781D5CA" w:rsidR="001E27BA" w:rsidRDefault="001E27BA">
      <w:pPr>
        <w:pStyle w:val="Bibliography"/>
      </w:pPr>
    </w:p>
    <w:sectPr w:rsidR="001E27BA" w:rsidSect="00F02B0B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FAA85" w14:textId="77777777" w:rsidR="00F02B0B" w:rsidRDefault="00F02B0B">
      <w:pPr>
        <w:spacing w:after="0"/>
      </w:pPr>
      <w:r>
        <w:separator/>
      </w:r>
    </w:p>
  </w:endnote>
  <w:endnote w:type="continuationSeparator" w:id="0">
    <w:p w14:paraId="219920B5" w14:textId="77777777" w:rsidR="00F02B0B" w:rsidRDefault="00F02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9793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13C04" w14:textId="77777777" w:rsidR="00492EE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835C7" w14:textId="77777777" w:rsidR="00492EED" w:rsidRDefault="00492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05857" w14:textId="77777777" w:rsidR="00F02B0B" w:rsidRDefault="00F02B0B">
      <w:r>
        <w:separator/>
      </w:r>
    </w:p>
  </w:footnote>
  <w:footnote w:type="continuationSeparator" w:id="0">
    <w:p w14:paraId="5A315A3A" w14:textId="77777777" w:rsidR="00F02B0B" w:rsidRDefault="00F0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EF616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A990"/>
    <w:multiLevelType w:val="multilevel"/>
    <w:tmpl w:val="017061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0358993">
    <w:abstractNumId w:val="1"/>
  </w:num>
  <w:num w:numId="2" w16cid:durableId="2068603268">
    <w:abstractNumId w:val="1"/>
  </w:num>
  <w:num w:numId="3" w16cid:durableId="884681990">
    <w:abstractNumId w:val="1"/>
  </w:num>
  <w:num w:numId="4" w16cid:durableId="1927763984">
    <w:abstractNumId w:val="1"/>
  </w:num>
  <w:num w:numId="5" w16cid:durableId="1042947347">
    <w:abstractNumId w:val="1"/>
  </w:num>
  <w:num w:numId="6" w16cid:durableId="678772750">
    <w:abstractNumId w:val="0"/>
  </w:num>
  <w:num w:numId="7" w16cid:durableId="56900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A"/>
    <w:rsid w:val="001E27BA"/>
    <w:rsid w:val="00492EED"/>
    <w:rsid w:val="006C4C4B"/>
    <w:rsid w:val="00854B64"/>
    <w:rsid w:val="00A44F83"/>
    <w:rsid w:val="00AF4590"/>
    <w:rsid w:val="00F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0FE2"/>
  <w15:docId w15:val="{86E0FF6D-3304-4FDD-B485-3F2BE69B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900E8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bCs/>
      <w:i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00E8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0C95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00E8"/>
    <w:pPr>
      <w:spacing w:after="0" w:line="480" w:lineRule="auto"/>
      <w:ind w:firstLine="567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900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00E8"/>
    <w:pPr>
      <w:keepNext/>
      <w:keepLines/>
      <w:spacing w:after="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A560D"/>
    <w:pPr>
      <w:keepNext/>
      <w:keepLines/>
      <w:spacing w:after="0" w:line="480" w:lineRule="auto"/>
    </w:pPr>
    <w:rPr>
      <w:rFonts w:ascii="Times New Roman" w:hAnsi="Times New Roman"/>
      <w:b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900E8"/>
    <w:p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autoRedefine/>
    <w:rsid w:val="00F91D22"/>
    <w:pPr>
      <w:spacing w:after="120" w:line="480" w:lineRule="auto"/>
    </w:pPr>
    <w:rPr>
      <w:rFonts w:ascii="Times New Roman" w:hAnsi="Times New Roman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qFormat/>
    <w:rsid w:val="00F91D22"/>
    <w:pPr>
      <w:spacing w:after="0"/>
    </w:pPr>
  </w:style>
  <w:style w:type="paragraph" w:customStyle="1" w:styleId="Figure">
    <w:name w:val="Figure"/>
    <w:basedOn w:val="Normal"/>
    <w:rsid w:val="0039522E"/>
    <w:rPr>
      <w:rFonts w:ascii="Times New Roman" w:hAnsi="Times New Roman"/>
      <w:b/>
      <w:sz w:val="20"/>
    </w:rPr>
  </w:style>
  <w:style w:type="paragraph" w:customStyle="1" w:styleId="CaptionedFigure">
    <w:name w:val="Captioned Figure"/>
    <w:basedOn w:val="Figure"/>
    <w:rsid w:val="00F91D22"/>
    <w:pPr>
      <w:keepNext/>
      <w:spacing w:line="480" w:lineRule="auto"/>
    </w:pPr>
    <w:rPr>
      <w:b w:val="0"/>
    </w:rPr>
  </w:style>
  <w:style w:type="character" w:customStyle="1" w:styleId="CaptionChar">
    <w:name w:val="Caption Char"/>
    <w:basedOn w:val="DefaultParagraphFont"/>
    <w:link w:val="Caption"/>
    <w:rsid w:val="00F91D22"/>
    <w:rPr>
      <w:rFonts w:ascii="Times New Roman" w:hAnsi="Times New Roman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sz w:val="20"/>
      <w:vertAlign w:val="superscript"/>
    </w:rPr>
  </w:style>
  <w:style w:type="character" w:styleId="Hyperlink">
    <w:name w:val="Hyperlink"/>
    <w:basedOn w:val="CaptionChar"/>
    <w:rsid w:val="00EB173E"/>
    <w:rPr>
      <w:rFonts w:ascii="Times New Roman" w:hAnsi="Times New Roman"/>
      <w:color w:val="auto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ageNumber">
    <w:name w:val="page number"/>
    <w:basedOn w:val="DefaultParagraphFont"/>
    <w:rsid w:val="00A446FD"/>
    <w:rPr>
      <w:rFonts w:ascii="Times New Roman" w:hAnsi="Times New Roman"/>
      <w:sz w:val="20"/>
    </w:rPr>
  </w:style>
  <w:style w:type="character" w:styleId="LineNumber">
    <w:name w:val="line number"/>
    <w:basedOn w:val="DefaultParagraphFont"/>
    <w:rsid w:val="00A446F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rsid w:val="00C54B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4B38"/>
  </w:style>
  <w:style w:type="paragraph" w:styleId="Footer">
    <w:name w:val="footer"/>
    <w:basedOn w:val="Normal"/>
    <w:link w:val="FooterChar"/>
    <w:uiPriority w:val="99"/>
    <w:rsid w:val="00C54B38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54B38"/>
    <w:rPr>
      <w:rFonts w:ascii="Times New Roman" w:hAnsi="Times New Roman"/>
    </w:rPr>
  </w:style>
  <w:style w:type="paragraph" w:styleId="ListNumber">
    <w:name w:val="List Number"/>
    <w:basedOn w:val="Normal"/>
    <w:rsid w:val="00F91D22"/>
    <w:pPr>
      <w:numPr>
        <w:numId w:val="6"/>
      </w:numPr>
      <w:contextualSpacing/>
    </w:pPr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hglascambeu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bhglascambeu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Growth yields and light-capture in PhycoCyanin and PhycoErythrin-rich picocyanobacteria, across photic regimes and growth phases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Growth yields and light-capture in PhycoCyanin and PhycoErythrin-rich picocyanobacteria, across photic regimes and growth phases</dc:title>
  <dc:creator>Sylwia Śliwińska-Wilczewska1,2, Marta Konik3,4, Mireille Savoie1, Anabella Aguilera5,6, Naaman M. Omar1, and Douglas A. Campbell1,✉</dc:creator>
  <cp:keywords/>
  <cp:lastModifiedBy>Sylwia Sliwinskawilczewska</cp:lastModifiedBy>
  <cp:revision>3</cp:revision>
  <dcterms:created xsi:type="dcterms:W3CDTF">2024-05-01T16:17:00Z</dcterms:created>
  <dcterms:modified xsi:type="dcterms:W3CDTF">2024-05-01T16:57:00Z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limnology-and-oceanography.csl</vt:lpwstr>
  </property>
  <property fmtid="{D5CDD505-2E9C-101B-9397-08002B2CF9AE}" pid="5" name="output">
    <vt:lpwstr/>
  </property>
</Properties>
</file>