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A0E61" w14:textId="77777777" w:rsidR="00F71E91" w:rsidRDefault="00000000">
      <w:pPr>
        <w:pStyle w:val="Title"/>
      </w:pPr>
      <w:r>
        <w:t>Changing diel growth symmetries and light-capture in PhycoCyanin and PhycoErythrin-rich picocyanobacteria across photic regimes and growth phases</w:t>
      </w:r>
    </w:p>
    <w:p w14:paraId="71D68B5B" w14:textId="77777777" w:rsidR="00F71E91"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4EAD2662" w14:textId="77777777" w:rsidR="00F71E91"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63A64F0C" w14:textId="77777777" w:rsidR="00F71E91" w:rsidRDefault="00000000">
      <w:pPr>
        <w:pStyle w:val="BodyText"/>
      </w:pPr>
      <w:r>
        <w:rPr>
          <w:vertAlign w:val="superscript"/>
        </w:rPr>
        <w:t>✉</w:t>
      </w:r>
      <w:r>
        <w:t xml:space="preserve"> Correspondence: </w:t>
      </w:r>
      <w:hyperlink r:id="rId7">
        <w:r>
          <w:rPr>
            <w:rStyle w:val="Hyperlink"/>
          </w:rPr>
          <w:t xml:space="preserve">Douglas A. </w:t>
        </w:r>
        <w:r w:rsidRPr="008B5961">
          <w:rPr>
            <w:rStyle w:val="Hyperlink"/>
          </w:rPr>
          <w:t>Campbell</w:t>
        </w:r>
        <w:r>
          <w:rPr>
            <w:rStyle w:val="Hyperlink"/>
          </w:rPr>
          <w:t xml:space="preserve"> &lt;</w:t>
        </w:r>
        <w:hyperlink r:id="rId8">
          <w:r>
            <w:rPr>
              <w:rStyle w:val="Hyperlink"/>
            </w:rPr>
            <w:t>dcampbel@mta.ca</w:t>
          </w:r>
        </w:hyperlink>
        <w:r>
          <w:rPr>
            <w:rStyle w:val="Hyperlink"/>
          </w:rPr>
          <w:t>&gt;</w:t>
        </w:r>
      </w:hyperlink>
    </w:p>
    <w:p w14:paraId="7E336A34" w14:textId="77777777" w:rsidR="00F71E91" w:rsidRDefault="00000000">
      <w:pPr>
        <w:pStyle w:val="Heading1"/>
      </w:pPr>
      <w:bookmarkStart w:id="0" w:name="supplementary-material"/>
      <w:r>
        <w:t>Supplementary material</w:t>
      </w:r>
    </w:p>
    <w:p w14:paraId="187CC656" w14:textId="77777777" w:rsidR="008B5961" w:rsidRPr="008B5961" w:rsidRDefault="008B5961" w:rsidP="008B5961">
      <w:pPr>
        <w:pStyle w:val="BodyText"/>
      </w:pPr>
    </w:p>
    <w:p w14:paraId="157E4DD8" w14:textId="77777777" w:rsidR="00F71E91" w:rsidRDefault="00000000">
      <w:pPr>
        <w:pStyle w:val="CaptionedFigure"/>
      </w:pPr>
      <w:r>
        <w:rPr>
          <w:noProof/>
        </w:rPr>
        <w:lastRenderedPageBreak/>
        <w:drawing>
          <wp:inline distT="0" distB="0" distL="0" distR="0" wp14:anchorId="2ABBF84B" wp14:editId="083125DF">
            <wp:extent cx="5943600" cy="7429499"/>
            <wp:effectExtent l="0" t="0" r="0" b="0"/>
            <wp:docPr id="22" name="Picture" descr="(#fig:SFig_GrowthCurve)Example of representative growth curves (tracked as OD680) of two PhycoCyanin(PC)-rich cultures (light green line; 056, dark green line; 077) and two PhycoErythrin(PE)-rich cultures (light red line; 048, dark red line; 127) (Culture Collection of Baltic Algae) of Synechococcus sp. grown at 30, 90, 180, 300, or 900 peak diel PAR µmol photons m−2s−1;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
            <wp:cNvGraphicFramePr/>
            <a:graphic xmlns:a="http://schemas.openxmlformats.org/drawingml/2006/main">
              <a:graphicData uri="http://schemas.openxmlformats.org/drawingml/2006/picture">
                <pic:pic xmlns:pic="http://schemas.openxmlformats.org/drawingml/2006/picture">
                  <pic:nvPicPr>
                    <pic:cNvPr id="23" name="Picture" descr="../Output/Figures/SFig_GrowthCurve.png"/>
                    <pic:cNvPicPr>
                      <a:picLocks noChangeAspect="1" noChangeArrowheads="1"/>
                    </pic:cNvPicPr>
                  </pic:nvPicPr>
                  <pic:blipFill>
                    <a:blip r:embed="rId9"/>
                    <a:stretch>
                      <a:fillRect/>
                    </a:stretch>
                  </pic:blipFill>
                  <pic:spPr bwMode="auto">
                    <a:xfrm>
                      <a:off x="0" y="0"/>
                      <a:ext cx="5943600" cy="7429499"/>
                    </a:xfrm>
                    <a:prstGeom prst="rect">
                      <a:avLst/>
                    </a:prstGeom>
                    <a:noFill/>
                    <a:ln w="9525">
                      <a:noFill/>
                      <a:headEnd/>
                      <a:tailEnd/>
                    </a:ln>
                  </pic:spPr>
                </pic:pic>
              </a:graphicData>
            </a:graphic>
          </wp:inline>
        </w:drawing>
      </w:r>
    </w:p>
    <w:p w14:paraId="297D222D" w14:textId="77777777" w:rsidR="00F71E91" w:rsidRDefault="00000000">
      <w:pPr>
        <w:pStyle w:val="ImageCaption"/>
      </w:pPr>
      <w:r>
        <w:t>(#fig:SFig_GrowthCurve)Example of representative growth curves (tracked as OD</w:t>
      </w:r>
      <w:r>
        <w:rPr>
          <w:vertAlign w:val="subscript"/>
        </w:rPr>
        <w:t>680</w:t>
      </w:r>
      <w:r>
        <w:t xml:space="preserve">) of two PhycoCyanin(PC)-rich cultures (light green line; 056, dark green line; 077) and two </w:t>
      </w:r>
      <w:r>
        <w:lastRenderedPageBreak/>
        <w:t xml:space="preserve">PhycoErythrin(PE)-rich cultures (light red line; 048, dark red line;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w:t>
      </w:r>
    </w:p>
    <w:p w14:paraId="4094CF7F" w14:textId="77777777" w:rsidR="00F71E91" w:rsidRDefault="00000000">
      <w:pPr>
        <w:pStyle w:val="CaptionedFigure"/>
      </w:pPr>
      <w:r>
        <w:rPr>
          <w:noProof/>
        </w:rPr>
        <w:lastRenderedPageBreak/>
        <w:drawing>
          <wp:inline distT="0" distB="0" distL="0" distR="0" wp14:anchorId="6086A092" wp14:editId="27CAE299">
            <wp:extent cx="5943600" cy="7429499"/>
            <wp:effectExtent l="0" t="0" r="0" b="0"/>
            <wp:docPr id="25" name="Picture" descr="(#fig:SFig_GrowthRate)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dashed) fit for growth under 30 (dark gray), 90 (light gray), 180 (purple), 300 (red), 600 together with 900 (orange) peak diel PAR µmol photons m−2s−1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26" name="Picture" descr="../Output/Figures/SFig_GrowthRate.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27E908FD" w14:textId="77777777" w:rsidR="00F71E91" w:rsidRDefault="00000000">
      <w:pPr>
        <w:pStyle w:val="ImageCaption"/>
      </w:pPr>
      <w:r>
        <w:t>(#fig:SFig_GrowthRate)Chlorophyll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w:t>
      </w:r>
      <w:r>
        <w:lastRenderedPageBreak/>
        <w:t xml:space="preserve">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and pool fit with curve (Harrison and Platt, 1986) was shown as solid blue line. Separate lines (dashed) fit for growth under 30 (dark gray), 90 (light gray), 180 (purple), 300 (red), 600 together with 900 (orange) peak diel PAR µmol photons m</w:t>
      </w:r>
      <w:r>
        <w:rPr>
          <w:vertAlign w:val="superscript"/>
        </w:rPr>
        <w:t>−2</w:t>
      </w:r>
      <w:r>
        <w:t>s</w:t>
      </w:r>
      <w:r>
        <w:rPr>
          <w:vertAlign w:val="superscript"/>
        </w:rPr>
        <w:t>−1</w:t>
      </w:r>
      <w:r>
        <w:t xml:space="preserve"> when they were significantly different (ANOVA, </w:t>
      </w:r>
      <w:r>
        <w:rPr>
          <w:i/>
          <w:iCs/>
        </w:rPr>
        <w:t>p</w:t>
      </w:r>
      <w:r>
        <w:t xml:space="preserve"> &lt; 0.05) from the pool fit.</w:t>
      </w:r>
    </w:p>
    <w:p w14:paraId="320AA12F" w14:textId="77777777" w:rsidR="00F71E91" w:rsidRDefault="00000000">
      <w:pPr>
        <w:pStyle w:val="CaptionedFigure"/>
      </w:pPr>
      <w:r>
        <w:rPr>
          <w:noProof/>
        </w:rPr>
        <w:lastRenderedPageBreak/>
        <w:drawing>
          <wp:inline distT="0" distB="0" distL="0" distR="0" wp14:anchorId="2D63CE17" wp14:editId="68E61F45">
            <wp:extent cx="5943600" cy="7429499"/>
            <wp:effectExtent l="0" t="0" r="0" b="0"/>
            <wp:docPr id="28" name="Picture" descr="(#fig:SFig_AccLen)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Figure represent all data (small symbols) and means (big symbols) for n = 0-5 days from exponential phase, prior to reaching maximum absolute hourly growth; or from pre-stationary growth phase, after reaching maximum absolute hourly growth. The diagonal dashed lines indicate the time (h) to reach the maximum light during the day."/>
            <wp:cNvGraphicFramePr/>
            <a:graphic xmlns:a="http://schemas.openxmlformats.org/drawingml/2006/main">
              <a:graphicData uri="http://schemas.openxmlformats.org/drawingml/2006/picture">
                <pic:pic xmlns:pic="http://schemas.openxmlformats.org/drawingml/2006/picture">
                  <pic:nvPicPr>
                    <pic:cNvPr id="29" name="Picture" descr="../Output/Figures/SFig_AccLen.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5CD668A8" w14:textId="77777777" w:rsidR="00F71E91" w:rsidRDefault="00000000">
      <w:pPr>
        <w:pStyle w:val="ImageCaption"/>
      </w:pPr>
      <w:r>
        <w:t xml:space="preserve">(#fig:SFig_AccLen)Hours of photoperiod to reach maximum hourly growth increment (AccLen), for two PhycoCyanin(PC)-rich cultures (056, 077) and two PhycoErythrin(PE)-rich cultures (048, </w:t>
      </w:r>
      <w:r>
        <w:lastRenderedPageBreak/>
        <w:t xml:space="preserve">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Figure represent all data (small symbols) and means (big symbols) for n = 0-5 days from exponential phase, prior to reaching maximum absolute hourly growth; or from pre-stationary growth phase, after reaching maximum absolute hourly growth. The diagonal dashed lines indicate the time (h) to reach the maximum light during the day.</w:t>
      </w:r>
    </w:p>
    <w:p w14:paraId="2879D40B" w14:textId="77777777" w:rsidR="00F71E91" w:rsidRDefault="00000000">
      <w:pPr>
        <w:pStyle w:val="CaptionedFigure"/>
      </w:pPr>
      <w:r>
        <w:rPr>
          <w:noProof/>
        </w:rPr>
        <w:lastRenderedPageBreak/>
        <w:drawing>
          <wp:inline distT="0" distB="0" distL="0" distR="0" wp14:anchorId="5F4A8EE1" wp14:editId="4A582E65">
            <wp:extent cx="5943600" cy="7429499"/>
            <wp:effectExtent l="0" t="0" r="0" b="0"/>
            <wp:docPr id="31" name="Picture" descr="(#fig:SFig_Pigments)Changes of cell-specific pigment content of two PhycoCyanin(PC)-rich cultures (Culture Collection of Baltic Algae; 056, 077) and two PhycoErythrin(PE)-rich cultures (Culture Collection of Baltic Algae; 048, 127)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32" name="Picture" descr="../Output/Figures/SFig_Pigments.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64C869C2" w14:textId="77777777" w:rsidR="00F71E91" w:rsidRDefault="00000000">
      <w:pPr>
        <w:pStyle w:val="ImageCaption"/>
      </w:pPr>
      <w:r>
        <w:t xml:space="preserve">(#fig:SFig_Pigments)Changes of cell-specific pigment content of two PhycoCyanin(PC)-rich cultures (Culture Collection of Baltic Algae; 056, 077) and two PhycoErythrin(PE)-rich cultures </w:t>
      </w:r>
      <w:r>
        <w:lastRenderedPageBreak/>
        <w:t xml:space="preserve">(Culture Collection of Baltic Algae; 048, 127)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778E276B" w14:textId="77777777" w:rsidR="00F71E91" w:rsidRDefault="00000000">
      <w:pPr>
        <w:pStyle w:val="CaptionedFigure"/>
      </w:pPr>
      <w:r>
        <w:rPr>
          <w:noProof/>
        </w:rPr>
        <w:lastRenderedPageBreak/>
        <w:drawing>
          <wp:inline distT="0" distB="0" distL="0" distR="0" wp14:anchorId="33F8BEAB" wp14:editId="68B78820">
            <wp:extent cx="5943600" cy="7429499"/>
            <wp:effectExtent l="0" t="0" r="0" b="0"/>
            <wp:docPr id="34" name="Picture" descr="(#fig:SFig_Sigma445)Effective absorption cross section of PSII (σPSII’; nm2 quanta-1) measured under diel peak PAR growth light under Ex445 nm (blue) excitation in two PhycoCyanin(PC)-rich cultures (056, 077) and two PhycoErythrin(PE)-rich cultures (048, 127) (Culture Collection of Baltic Algae) of Synechococcus sp. grown at 30, 90, 180, 300, 600, or 900 peak diel PAR µmol photons m−2s−1; and photoperiods of 8, 12, or 16 h. n = 3, +/- SD. Line shows single phase exponential decay fit."/>
            <wp:cNvGraphicFramePr/>
            <a:graphic xmlns:a="http://schemas.openxmlformats.org/drawingml/2006/main">
              <a:graphicData uri="http://schemas.openxmlformats.org/drawingml/2006/picture">
                <pic:pic xmlns:pic="http://schemas.openxmlformats.org/drawingml/2006/picture">
                  <pic:nvPicPr>
                    <pic:cNvPr id="35" name="Picture" descr="../Output/Figures/SFig_Sigma445.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238B1BF3" w14:textId="77777777" w:rsidR="00F71E91" w:rsidRDefault="00000000">
      <w:pPr>
        <w:pStyle w:val="ImageCaption"/>
      </w:pPr>
      <w:r>
        <w:t>(#fig:SFig_Sigma445)Effective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Ex445 nm (blue) excitation in two PhycoCyanin(PC)-rich </w:t>
      </w:r>
      <w:r>
        <w:lastRenderedPageBreak/>
        <w:t xml:space="preserve">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or 16 h. n = 3, +/- SD. Line shows single phase exponential decay fit.</w:t>
      </w:r>
      <w:bookmarkEnd w:id="0"/>
    </w:p>
    <w:sectPr w:rsidR="00F71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2121F" w14:textId="77777777" w:rsidR="00565D69" w:rsidRDefault="00565D69">
      <w:pPr>
        <w:spacing w:after="0"/>
      </w:pPr>
      <w:r>
        <w:separator/>
      </w:r>
    </w:p>
  </w:endnote>
  <w:endnote w:type="continuationSeparator" w:id="0">
    <w:p w14:paraId="1B0D26A7" w14:textId="77777777" w:rsidR="00565D69" w:rsidRDefault="00565D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59D5" w14:textId="77777777" w:rsidR="00565D69" w:rsidRDefault="00565D69">
      <w:r>
        <w:separator/>
      </w:r>
    </w:p>
  </w:footnote>
  <w:footnote w:type="continuationSeparator" w:id="0">
    <w:p w14:paraId="45947009" w14:textId="77777777" w:rsidR="00565D69" w:rsidRDefault="00565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E91"/>
    <w:rsid w:val="00565D69"/>
    <w:rsid w:val="008B5961"/>
    <w:rsid w:val="00F71E9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F75BB"/>
  <w15:docId w15:val="{24F98EE6-E800-46E3-A7B6-468FAE2E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B5961"/>
    <w:pPr>
      <w:spacing w:before="180" w:after="180" w:line="360" w:lineRule="auto"/>
      <w:jc w:val="both"/>
    </w:pPr>
    <w:rPr>
      <w:rFonts w:ascii="Times New Roman" w:hAnsi="Times New Roman"/>
    </w:rPr>
  </w:style>
  <w:style w:type="paragraph" w:customStyle="1" w:styleId="FirstParagraph">
    <w:name w:val="First Paragraph"/>
    <w:basedOn w:val="BodyText"/>
    <w:next w:val="BodyText"/>
    <w:qFormat/>
    <w:rsid w:val="008B5961"/>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campbel@mta.c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dcampbel@mta.ca"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588</Words>
  <Characters>3353</Characters>
  <Application>Microsoft Office Word</Application>
  <DocSecurity>0</DocSecurity>
  <Lines>27</Lines>
  <Paragraphs>7</Paragraphs>
  <ScaleCrop>false</ScaleCrop>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2</cp:revision>
  <dcterms:created xsi:type="dcterms:W3CDTF">2024-01-22T15:17:00Z</dcterms:created>
  <dcterms:modified xsi:type="dcterms:W3CDTF">2024-01-22T15:17:00Z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