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6.png" ContentType="image/png"/>
  <Override PartName="/word/media/rId43.png" ContentType="image/png"/>
  <Override PartName="/word/media/rId47.png" ContentType="image/png"/>
  <Override PartName="/word/media/rId52.png" ContentType="image/png"/>
  <Override PartName="/word/media/rId26.png" ContentType="image/png"/>
  <Override PartName="/word/media/rId34.png" ContentType="image/png"/>
  <Override PartName="/word/media/rId64.png" ContentType="image/png"/>
  <Override PartName="/word/media/rId100.png" ContentType="image/png"/>
  <Override PartName="/word/media/rId68.png" ContentType="image/png"/>
  <Override PartName="/word/media/rId72.png" ContentType="image/png"/>
  <Override PartName="/word/media/rId76.png" ContentType="image/png"/>
  <Override PartName="/word/media/rId80.png" ContentType="image/png"/>
  <Override PartName="/word/media/rId84.png" ContentType="image/png"/>
  <Override PartName="/word/media/rId88.png" ContentType="image/png"/>
  <Override PartName="/word/media/rId92.png" ContentType="image/png"/>
  <Override PartName="/word/media/rId9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 II Function under Extreme Low Light and Low Temperatures; Polar vs. Temperate Phytoplankton</w:t>
      </w:r>
    </w:p>
    <w:p>
      <w:pPr>
        <w:pStyle w:val="Author"/>
      </w:pPr>
      <w:r>
        <w:t xml:space="preserve">Mackenzie Poirier</w:t>
      </w:r>
      <w:r>
        <w:rPr>
          <w:vertAlign w:val="superscript"/>
        </w:rPr>
        <w:t xml:space="preserve">3</w:t>
      </w:r>
      <w:r>
        <w:t xml:space="preserve">, Natasha M. Ryan</w:t>
      </w:r>
      <w:r>
        <w:rPr>
          <w:vertAlign w:val="superscript"/>
        </w:rPr>
        <w:t xml:space="preserve">1</w:t>
      </w:r>
      <w:r>
        <w:t xml:space="preserve">, Pomona Osmers</w:t>
      </w:r>
      <w:r>
        <w:rPr>
          <w:vertAlign w:val="superscript"/>
        </w:rPr>
        <w:t xml:space="preserve">3</w:t>
      </w:r>
      <w:r>
        <w:t xml:space="preserve">, Arthur Plassart</w:t>
      </w:r>
      <w:r>
        <w:rPr>
          <w:vertAlign w:val="superscript"/>
        </w:rPr>
        <w:t xml:space="preserve">2</w:t>
      </w:r>
      <w:r>
        <w:t xml:space="preserve">, Sébastien Guérin</w:t>
      </w:r>
      <w:r>
        <w:rPr>
          <w:vertAlign w:val="superscript"/>
        </w:rPr>
        <w:t xml:space="preserve">2</w:t>
      </w:r>
      <w:r>
        <w:t xml:space="preserve">, Marcel Babin</w:t>
      </w:r>
      <w:r>
        <w:rPr>
          <w:vertAlign w:val="superscript"/>
        </w:rPr>
        <w:t xml:space="preserve">2</w:t>
      </w:r>
      <w:r>
        <w:t xml:space="preserve">, Maximilian Berthold</w:t>
      </w:r>
      <w:r>
        <w:rPr>
          <w:vertAlign w:val="superscript"/>
        </w:rPr>
        <w:t xml:space="preserve">1</w:t>
      </w:r>
      <w:r>
        <w:t xml:space="preserve">, Mireille Savoie</w:t>
      </w:r>
      <w:r>
        <w:rPr>
          <w:vertAlign w:val="superscript"/>
        </w:rPr>
        <w:t xml:space="preserve">1</w:t>
      </w:r>
      <w:r>
        <w:t xml:space="preserve">, Marina Cvetkovska</w:t>
      </w:r>
      <w:r>
        <w:rPr>
          <w:vertAlign w:val="superscript"/>
        </w:rPr>
        <w:t xml:space="preserve">3</w:t>
      </w:r>
      <w:r>
        <w:t xml:space="preserve">, and Douglas A. Campbell</w:t>
      </w:r>
      <w:r>
        <w:rPr>
          <w:vertAlign w:val="superscript"/>
        </w:rPr>
        <w:t xml:space="preserve">1</w:t>
      </w:r>
    </w:p>
    <w:p>
      <w:pPr>
        <w:pStyle w:val="Date"/>
      </w:pPr>
      <w:r>
        <w:t xml:space="preserve">2025-12-19</w:t>
      </w:r>
    </w:p>
    <w:p>
      <w:pPr>
        <w:pStyle w:val="AbstractTitle"/>
      </w:pPr>
      <w:r>
        <w:t xml:space="preserve">Abstract</w:t>
      </w:r>
    </w:p>
    <w:p>
      <w:pPr>
        <w:pStyle w:val="Abstract"/>
      </w:pPr>
      <w:r>
        <w:t xml:space="preserve">Polar phytoplankton achieve slow, but ecologically significant, productivity under exceptionally low light, where sequential arrivals of photons at Photosystem II complexes are widely spaced in time. We hypothesized that maintaining photosynthesis under such low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Photosystem II photochemistry across the Photosystem II populations in diatoms and green algae, in response to changing measurement temperatures and a range of extremely low light, emulated by increasing spacing of photon deliveries. Prolonged synchronous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low light limitations on 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p>
    <w:bookmarkStart w:id="22" w:name="to-do"/>
    <w:p>
      <w:pPr>
        <w:pStyle w:val="Heading1"/>
      </w:pPr>
      <w:r>
        <w:t xml:space="preserve">To Do</w:t>
      </w:r>
    </w:p>
    <w:bookmarkStart w:id="20" w:name="substantial"/>
    <w:p>
      <w:pPr>
        <w:pStyle w:val="Heading2"/>
      </w:pPr>
      <w:r>
        <w:rPr>
          <w:rStyle w:val="SectionNumber"/>
        </w:rPr>
        <w:t xml:space="preserve">0.1</w:t>
      </w:r>
      <w:r>
        <w:tab/>
      </w:r>
      <w:r>
        <w:t xml:space="preserve">Substantial:</w:t>
      </w:r>
    </w:p>
    <w:p>
      <w:pPr>
        <w:pStyle w:val="FirstParagraph"/>
      </w:pPr>
      <w:r>
        <w:t xml:space="preserve">convert damping index to relative probability of desynchronization?</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process &amp; plot tau data to track how long PSII is closed after flash</w:t>
      </w:r>
    </w:p>
    <w:bookmarkEnd w:id="20"/>
    <w:bookmarkStart w:id="21" w:name="manu-prep"/>
    <w:p>
      <w:pPr>
        <w:pStyle w:val="Heading2"/>
      </w:pPr>
      <w:r>
        <w:rPr>
          <w:rStyle w:val="SectionNumber"/>
        </w:rPr>
        <w:t xml:space="preserve">0.2</w:t>
      </w:r>
      <w:r>
        <w:tab/>
      </w:r>
      <w:r>
        <w:t xml:space="preserve">Manu Prep:</w:t>
      </w:r>
    </w:p>
    <w:p>
      <w:pPr>
        <w:pStyle w:val="FirstParagraph"/>
      </w:pPr>
      <w:r>
        <w:t xml:space="preserve">Fix figure &amp; table citation issue</w:t>
      </w:r>
    </w:p>
    <w:p>
      <w:pPr>
        <w:pStyle w:val="BodyText"/>
      </w:pPr>
      <w:r>
        <w:t xml:space="preserve">Scan recent literature; Gates?</w:t>
      </w:r>
    </w:p>
    <w:bookmarkEnd w:id="21"/>
    <w:bookmarkEnd w:id="22"/>
    <w:bookmarkStart w:id="23"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Phytoplankters share photolithotrophic growth, using highly conserved protein complexes</w:t>
      </w:r>
      <w:r>
        <w:t xml:space="preserve"> </w:t>
      </w:r>
      <w:r>
        <w:t xml:space="preserve">(Falkowski et al., 2008)</w:t>
      </w:r>
      <w:r>
        <w:t xml:space="preserve"> </w:t>
      </w:r>
      <w:r>
        <w:t xml:space="preserve">to harness energy from Photosynthetically Active Radiation (PAR), to drive reduction and assimilation of inorganic carbon, nitrogen, phosphorus, sulphur, and other essential micronutrients</w:t>
      </w:r>
      <w:r>
        <w:t xml:space="preserve"> </w:t>
      </w:r>
      <w:r>
        <w:t xml:space="preserve">(Raven et al., 2000)</w:t>
      </w:r>
      <w:r>
        <w:t xml:space="preserve">. PAR, however, decreases with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thus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w:t>
      </w:r>
    </w:p>
    <w:p>
      <w:pPr>
        <w:pStyle w:val="BodyText"/>
      </w:pPr>
      <w:r>
        <w:t xml:space="preserve">Light availability is further constrained in polar aquatic habitats, with light penetration of the water limited by seasonally low solar angles, ice cover, and snow cover</w:t>
      </w:r>
      <w:r>
        <w:t xml:space="preserve"> </w:t>
      </w:r>
      <w:r>
        <w:t xml:space="preserve">(Cohen et al., 2020; Leu et al., 2015; Hancke et al., 2018)</w:t>
      </w:r>
      <w:r>
        <w:t xml:space="preserve">, thereby presenting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polar psychrophile phytoplankton further demonstrate slow, but ecologically significant, productivity in the winter through photosynthesis below 0.17 µmol photons m</w:t>
      </w:r>
      <w:r>
        <w:rPr>
          <w:vertAlign w:val="superscript"/>
        </w:rPr>
        <w:t xml:space="preserve">-2</w:t>
      </w:r>
      <w:r>
        <w:t xml:space="preserve"> </w:t>
      </w:r>
      <w:r>
        <w:t xml:space="preserve">s</w:t>
      </w:r>
      <w:r>
        <w:rPr>
          <w:vertAlign w:val="superscript"/>
        </w:rPr>
        <w:t xml:space="preserve">-1</w:t>
      </w:r>
      <w:r>
        <w:t xml:space="preserve"> </w:t>
      </w:r>
      <w:r>
        <w:t xml:space="preserve">[</w:t>
      </w:r>
      <w:r>
        <w:t xml:space="preserve">Randelhoff et al. (2020)</w:t>
      </w:r>
      <w:r>
        <w:t xml:space="preserve">;</w:t>
      </w:r>
      <w:r>
        <w:t xml:space="preserve"> </w:t>
      </w:r>
      <w:r>
        <w:t xml:space="preserve">Hancke et al. (2018)</w:t>
      </w:r>
      <w:r>
        <w:t xml:space="preserve">; ;</w:t>
      </w:r>
      <w:r>
        <w:t xml:space="preserve"> </w:t>
      </w:r>
      <w:r>
        <w:t xml:space="preserve">Morgan-Kiss et al. (2016)</w:t>
      </w:r>
      <w:r>
        <w:t xml:space="preserve">;</w:t>
      </w:r>
      <w:r>
        <w:t xml:space="preserve"> </w:t>
      </w:r>
      <w:r>
        <w:t xml:space="preserve">Hoppe et al. (2024)</w:t>
      </w:r>
      <w:r>
        <w:t xml:space="preserve">], with implications for the responses of polar phytoplankton communities to climate change</w:t>
      </w:r>
      <w:r>
        <w:t xml:space="preserve"> </w:t>
      </w:r>
      <w:r>
        <w:t xml:space="preserve">(Ardyna and Arrigo, 2020)</w:t>
      </w:r>
      <w:r>
        <w:t xml:space="preserve">.</w:t>
      </w:r>
    </w:p>
    <w:p>
      <w:pPr>
        <w:pStyle w:val="BodyText"/>
      </w:pPr>
      <w:r>
        <w:t xml:space="preserve">This slow but, but potentially significant, phytoplankton photosynthesis during polar winters underscores the ability of psychrophilic phytoplankton to maintain functional photosystems throughout the polar night</w:t>
      </w:r>
      <w:r>
        <w:t xml:space="preserve"> </w:t>
      </w:r>
      <w:r>
        <w:t xml:space="preserve">(Morgan-Kiss et al., 2016;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and growth could mitigate cell mortality in the extended darkness of winter, maintaining seeding populations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p>
    <w:p>
      <w:pPr>
        <w:pStyle w:val="BodyText"/>
      </w:pP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 In parallel salinities vary across polar habitats [REFERENCES MACKENZIE ET AL], along with shorter-tem local salinity fluctuations driven by freezing and thawing of ice [REFERENCES MACKENZIE ET AL]. XXXPOMONA ARTICLE(S) on SALINITY RESPONSES?XXX.</w:t>
      </w:r>
    </w:p>
    <w:p>
      <w:pPr>
        <w:pStyle w:val="BodyText"/>
      </w:pPr>
      <w:r>
        <w:t xml:space="preserve">Such extreme abiotic constraints probably act as powerful ecological filters, by imposing niche-driven speciation processes among phytoplankton lineages adapted to polar environments</w:t>
      </w:r>
      <w:r>
        <w:t xml:space="preserve"> </w:t>
      </w:r>
      <w:r>
        <w:t xml:space="preserve">(Ibarbalz et al., 2023)</w:t>
      </w:r>
      <w:r>
        <w:t xml:space="preserve">. Some psychrophilic phytoplankton indeed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genes families encoding for ice-binding proteins, molecular chaperones, light harvesting proteins and core histones (</w:t>
      </w:r>
      <w:r>
        <w:t xml:space="preserve">Zhang et al. (2021)</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In PSII, photons are captured by light-harvesting chlorophyll molecules</w:t>
      </w:r>
      <w:r>
        <w:t xml:space="preserve"> </w:t>
      </w:r>
      <w:r>
        <w:t xml:space="preserve">(Kirk, 2011)</w:t>
      </w:r>
      <w:r>
        <w:t xml:space="preserve">, initiating a transition from the ground state to an electronically excited state. Energy absorbed by light harvesting complexes undergoes rounds of inductive resonance transfer among multiple pigments before eventually reaching the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lower reduction potential, allowing photooxidation to P</w:t>
      </w:r>
      <w:r>
        <w:rPr>
          <w:vertAlign w:val="subscript"/>
        </w:rPr>
        <w:t xml:space="preserve">680</w:t>
      </w:r>
      <w:r>
        <w:t xml:space="preserve">+ through transfer of an electron to an initial phaeophytin (Phe) acceptor molecule</w:t>
      </w:r>
      <w:r>
        <w:t xml:space="preserve"> </w:t>
      </w:r>
      <w:r>
        <w:t xml:space="preserve">(Vass, 2011; Shevela et al., 2023)</w:t>
      </w:r>
      <w:r>
        <w:t xml:space="preserve">. In productive electron transport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by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 cluster on the thylakoid lumenal side of PSII</w:t>
      </w:r>
      <w:r>
        <w:t xml:space="preserve"> </w:t>
      </w:r>
      <w:r>
        <w:t xml:space="preserve">(Shen, 2021; Mukhopadhyay et al., 2004)</w:t>
      </w:r>
      <w:r>
        <w:t xml:space="preserve">.</w:t>
      </w:r>
    </w:p>
    <w:p>
      <w:pPr>
        <w:pStyle w:val="BodyText"/>
      </w:pPr>
      <w:r>
        <w:t xml:space="preserve">During photosynthesis, electron transfers thus sequentially stabilize the photochemical charge separations</w:t>
      </w:r>
      <w:r>
        <w:t xml:space="preserve"> </w:t>
      </w:r>
      <w:r>
        <w:t xml:space="preserve">(Vass, 2011)</w:t>
      </w:r>
      <w:r>
        <w:t xml:space="preserve">. These charge separations are, however, reversible through recombination reactions</w:t>
      </w:r>
      <w:r>
        <w:t xml:space="preserve"> </w:t>
      </w:r>
      <w:r>
        <w:t xml:space="preserve">(Vass and Cser, 2009; Han et al., 2012)</w:t>
      </w:r>
      <w:r>
        <w:t xml:space="preserve">, which are futile cycles of photochemistry</w:t>
      </w:r>
      <w:r>
        <w:t xml:space="preserve"> </w:t>
      </w:r>
      <w:r>
        <w:t xml:space="preserve">(Rappaport et al., 2002; Rappaport et al., 2005; Laloi et al., 2006)</w:t>
      </w:r>
      <w:r>
        <w:t xml:space="preserve"> </w:t>
      </w:r>
      <w:r>
        <w:t xml:space="preserve">forming one category of photochemical</w:t>
      </w:r>
      <w:r>
        <w:t xml:space="preserve"> </w:t>
      </w:r>
      <w:r>
        <w:t xml:space="preserve">‘miss’</w:t>
      </w:r>
      <w:r>
        <w:t xml:space="preserve"> </w:t>
      </w:r>
      <w:r>
        <w:t xml:space="preserve">(Han et al., 2012, 2022)</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these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these recombinations have characteristic activation energies</w:t>
      </w:r>
      <w:r>
        <w:t xml:space="preserve"> </w:t>
      </w:r>
      <w:r>
        <w:t xml:space="preserve">(Rappaport et al., 2002)</w:t>
      </w:r>
      <w:r>
        <w:t xml:space="preserve">, the probabilities of recombinations vary with temperature,</w:t>
      </w:r>
      <w:r>
        <w:t xml:space="preserve"> </w:t>
      </w:r>
      <w:r>
        <w:t xml:space="preserve">(Ivanov et al., 2006; Han et al., 2008; Han et al., 2012, 2022)</w:t>
      </w:r>
      <w:r>
        <w:t xml:space="preserve">. Both plants and cyanobacteria furthermore show acclimatory modulations</w:t>
      </w:r>
      <w:r>
        <w:t xml:space="preserve"> </w:t>
      </w:r>
      <w:r>
        <w:t xml:space="preserve">(Quigg et al., 2003)</w:t>
      </w:r>
      <w:r>
        <w:t xml:space="preserve"> </w:t>
      </w:r>
      <w:r>
        <w:t xml:space="preserve">of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w:t>
      </w:r>
      <w:r>
        <w:t xml:space="preserve"> </w:t>
      </w:r>
      <w:r>
        <w:t xml:space="preserve">‘miss’</w:t>
      </w:r>
      <w:r>
        <w:t xml:space="preserve"> </w:t>
      </w:r>
      <w:r>
        <w:t xml:space="preserve">processes that lower photosynthetic energy conversion efficiency</w:t>
      </w:r>
      <w:r>
        <w:t xml:space="preserve"> </w:t>
      </w:r>
      <w:r>
        <w:t xml:space="preserve">(Rappaport et al., 2005; Han et al., 2012)</w:t>
      </w:r>
      <w:r>
        <w:t xml:space="preserve"> </w:t>
      </w:r>
      <w:r>
        <w:t xml:space="preserve">by competing with linear electron transport.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The oxygen-evolving complex (OEC) of PSII consists of a manganese-oxo cluster (Mn</w:t>
      </w:r>
      <w:r>
        <w:rPr>
          <w:vertAlign w:val="subscript"/>
        </w:rPr>
        <w:t xml:space="preserve">4</w:t>
      </w:r>
      <w:r>
        <w:t xml:space="preserve">CaO</w:t>
      </w:r>
      <w:r>
        <w:rPr>
          <w:vertAlign w:val="subscript"/>
        </w:rPr>
        <w:t xml:space="preserve">5</w:t>
      </w:r>
      <w:r>
        <w:t xml:space="preserve">) where water is oxidized, releasing oxygen and protons</w:t>
      </w:r>
      <w:r>
        <w:t xml:space="preserve"> </w:t>
      </w:r>
      <w:r>
        <w:t xml:space="preserve">(Gates et al., 2020)</w:t>
      </w:r>
      <w:r>
        <w:t xml:space="preserve">. Four consecutive charge separations at P</w:t>
      </w:r>
      <w:r>
        <w:rPr>
          <w:vertAlign w:val="subscript"/>
        </w:rPr>
        <w:t xml:space="preserve">680</w:t>
      </w:r>
      <w:r>
        <w:t xml:space="preserve"> </w:t>
      </w:r>
      <w:r>
        <w:t xml:space="preserve">induce four increasingly oxidized states of the Mn cluster, known as S-States</w:t>
      </w:r>
      <w:r>
        <w:t xml:space="preserve"> </w:t>
      </w:r>
      <w:r>
        <w:t xml:space="preserve">(Zaharieva and Dau, 2019)</w:t>
      </w:r>
      <w:r>
        <w:t xml:space="preserve">, denoted, from most reduced to most oxidized, as S0, S1, S2, and S3, followed by a transient S4 state, which rapidly decays to S0. Once the Mn cluster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w:t>
      </w:r>
    </w:p>
    <w:p>
      <w:pPr>
        <w:pStyle w:val="BodyText"/>
      </w:pPr>
      <w:r>
        <w:t xml:space="preserve">Under light limitation, the arrivals of excitations of P</w:t>
      </w:r>
      <w:r>
        <w:rPr>
          <w:vertAlign w:val="subscript"/>
        </w:rPr>
        <w:t xml:space="preserve">680</w:t>
      </w:r>
      <w:r>
        <w:t xml:space="preserve"> </w:t>
      </w:r>
      <w:r>
        <w:t xml:space="preserve">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Stable and progressive S-State cycling under low light, in contrast, sustains electron flow for ATP and NADPH production, while minimizing risks of low-light photodamage to PSII</w:t>
      </w:r>
      <w:r>
        <w:t xml:space="preserve"> </w:t>
      </w:r>
      <w:r>
        <w:t xml:space="preserve">(Rappaport et al., 2005; Keren et al., 1997)</w:t>
      </w:r>
      <w:r>
        <w:t xml:space="preserve">.</w:t>
      </w:r>
    </w:p>
    <w:p>
      <w:pPr>
        <w:pStyle w:val="BodyText"/>
      </w:pPr>
      <w:r>
        <w:t xml:space="preserve">S-State cycling in a phytoplankton sample can be tracked by applications of sequences of short, single-turnover saturating light flashes, bright enough to deliver a photon to each PSII.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The S-States have different intrinsic PSII fluorescence yields</w:t>
      </w:r>
      <w:r>
        <w:t xml:space="preserve"> </w:t>
      </w:r>
      <w:r>
        <w:t xml:space="preserve">(Gates et al., 2020; Zaharieva and Dau, 2019)</w:t>
      </w:r>
      <w:r>
        <w:t xml:space="preserve">, so in an idealized sample, the four sequential S-States will be reflected by an ongoing periodic oscillation in ChlF. Recombination reactions, however, contribute to wasteful misses in the S-State cycling of individual PSII</w:t>
      </w:r>
      <w:r>
        <w:t xml:space="preserve"> </w:t>
      </w:r>
      <w:r>
        <w:t xml:space="preserve">(Han et al., 2012)</w:t>
      </w:r>
      <w:r>
        <w:t xml:space="preserve">. As misses occur, they progressively desynchronize S-State cycling across the PSII population, dampening the observed ChlF oscillation</w:t>
      </w:r>
      <w:r>
        <w:t xml:space="preserve"> </w:t>
      </w:r>
      <w:r>
        <w:t xml:space="preserve">(de Wijn and van Gorkom, 2002)</w:t>
      </w:r>
      <w:r>
        <w:t xml:space="preserve"> </w:t>
      </w:r>
      <w:r>
        <w:t xml:space="preserve">towards an averaged ChlF for the PSII population distributed across the S-States. An organism exhibiting synchronized S-State cycling sustained over more flash cycles indicates fewer photochemical misses, and thus higher conversion of sequentially spaced excitations to photosynthetic electron transport. By comparing the S-State cycling over flash cycles, of psychrophilic and temperate phytoplankton taxa, we sought to determine if psychrophilic diatoms and green algae show higher maintenance of progressive PSII function under extreme low light,thereby supporting stable extraction of electrons from water to support productive photosynthesis.</w:t>
      </w:r>
    </w:p>
    <w:bookmarkEnd w:id="23"/>
    <w:bookmarkStart w:id="41" w:name="materials-and-methods"/>
    <w:p>
      <w:pPr>
        <w:pStyle w:val="Heading1"/>
      </w:pPr>
      <w:r>
        <w:t xml:space="preserve">Materials and methods</w:t>
      </w:r>
    </w:p>
    <w:bookmarkStart w:id="25" w:name="study-strains-and-culturing-conditions"/>
    <w:p>
      <w:pPr>
        <w:pStyle w:val="Heading2"/>
      </w:pPr>
      <w:r>
        <w:t xml:space="preserve">Study Strains and Culturing Conditions</w:t>
      </w:r>
    </w:p>
    <w:p>
      <w:pPr>
        <w:pStyle w:val="FirstParagraph"/>
      </w:pPr>
      <w:r>
        <w:t xml:space="preserve">The nine study taxa, including polar and temperate strains of diatoms and green algae, and their respective culturing conditions are summarized in Table</w:t>
      </w:r>
      <w:r>
        <w:t xml:space="preserve"> </w:t>
      </w:r>
      <w:r>
        <w:t xml:space="preserve">1</w:t>
      </w:r>
      <w:r>
        <w:t xml:space="preserve">.</w:t>
      </w:r>
    </w:p>
    <w:p>
      <w:pPr>
        <w:pStyle w:val="TableCaption"/>
      </w:pPr>
      <w:bookmarkStart w:id="24" w:name="tab:taxacultures"/>
      <w:bookmarkEnd w:id="24"/>
      <w:r>
        <w:t xml:space="preserve">Table 1: Study taxa and culture growth conditions.</w:t>
      </w:r>
    </w:p>
    <w:tbl>
      <w:tblPr>
        <w:tblStyle w:val="Table"/>
        <w:tblW w:type="pct" w:w="5000"/>
        <w:tblLayout w:type="fixed"/>
        <w:tblLook w:firstRow="1" w:lastRow="0" w:firstColumn="0" w:lastColumn="0" w:noHBand="0" w:noVBand="0" w:val="0020"/>
        <w:tblCaption w:val="Table 1: Study taxa and culture growth conditions."/>
      </w:tblPr>
      <w:tblGrid>
        <w:gridCol w:w="1906"/>
        <w:gridCol w:w="586"/>
        <w:gridCol w:w="733"/>
        <w:gridCol w:w="733"/>
        <w:gridCol w:w="733"/>
        <w:gridCol w:w="806"/>
        <w:gridCol w:w="660"/>
        <w:gridCol w:w="1173"/>
        <w:gridCol w:w="586"/>
      </w:tblGrid>
      <w:tr>
        <w:trPr>
          <w:tblHeader w:val="on"/>
        </w:trPr>
        <w:tc>
          <w:tcPr/>
          <w:p>
            <w:pPr>
              <w:pStyle w:val="Compact"/>
              <w:jc w:val="left"/>
            </w:pPr>
            <w:r>
              <w:t xml:space="preserve">Taxa</w:t>
            </w:r>
          </w:p>
        </w:tc>
        <w:tc>
          <w:tcPr/>
          <w:p>
            <w:pPr>
              <w:pStyle w:val="Compact"/>
              <w:jc w:val="left"/>
            </w:pPr>
            <w:r>
              <w:t xml:space="preserve">Lineage</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NaCl (mM)</w:t>
            </w:r>
          </w:p>
        </w:tc>
        <w:tc>
          <w:tcPr/>
          <w:p>
            <w:pPr>
              <w:pStyle w:val="Compact"/>
              <w:jc w:val="right"/>
            </w:pPr>
            <w:r>
              <w:t xml:space="preserve">NaCl (opt)</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Thalassiosira pseudonana</w:t>
            </w:r>
          </w:p>
        </w:tc>
        <w:tc>
          <w:tcPr/>
          <w:p>
            <w:pPr>
              <w:pStyle w:val="Compact"/>
              <w:jc w:val="left"/>
            </w:pPr>
            <w:r>
              <w:t xml:space="preserve">Diatom</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Chlamydomonas ICEMDV</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0.43</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0.43</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10.00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bl>
    <w:p>
      <w:pPr>
        <w:pStyle w:val="BodyText"/>
      </w:pPr>
      <w:r>
        <w:rPr>
          <w:i/>
          <w:iCs/>
        </w:rPr>
        <w:t xml:space="preserve">Fragilariopsis cylindrus</w:t>
      </w:r>
      <w:r>
        <w:t xml:space="preserve"> </w:t>
      </w:r>
      <w:r>
        <w:t xml:space="preserve">is a psychrophilic</w:t>
      </w:r>
      <w:r>
        <w:t xml:space="preserve"> </w:t>
      </w:r>
      <w:r>
        <w:t xml:space="preserve">(Fiala and Oriol, 1990)</w:t>
      </w:r>
      <w:r>
        <w:t xml:space="preserve"> </w:t>
      </w:r>
      <w:r>
        <w:t xml:space="preserve">pennate diatom measuring 15-55 µm which forms large blooms in the high salinity and subzero temperatures of Arctic and Antarctic sea-ice systems</w:t>
      </w:r>
      <w:r>
        <w:t xml:space="preserve"> </w:t>
      </w:r>
      <w:r>
        <w:t xml:space="preserve">(Otte et al., 2023; Cefarelli et al., 2010)</w:t>
      </w:r>
      <w:r>
        <w:t xml:space="preserve">, and is a keystone species for polar ecosystems</w:t>
      </w:r>
      <w:r>
        <w:t xml:space="preserve"> </w:t>
      </w:r>
      <w:r>
        <w:t xml:space="preserve">(von Quillfeldt, 2004; Otte et al., 2023; Kang and Fryxell, 1992)</w:t>
      </w:r>
      <w:r>
        <w:t xml:space="preserve">. Sequenced in 2017,</w:t>
      </w:r>
      <w:r>
        <w:t xml:space="preserve"> </w:t>
      </w:r>
      <w:r>
        <w:rPr>
          <w:i/>
          <w:iCs/>
        </w:rPr>
        <w:t xml:space="preserve">Fragilariopsis cylindrus</w:t>
      </w:r>
      <w:r>
        <w:t xml:space="preserve"> </w:t>
      </w:r>
      <w:r>
        <w:t xml:space="preserve">has since become the model psychrophilic diatom species for investigating molecular and physiological mechanisms of cold adaptation</w:t>
      </w:r>
      <w:r>
        <w:t xml:space="preserve"> </w:t>
      </w:r>
      <w:r>
        <w:t xml:space="preserve">(Mock et al., 2017)</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w:t>
      </w:r>
      <w:r>
        <w:t xml:space="preserve"> </w:t>
      </w:r>
      <w:r>
        <w:rPr>
          <w:i/>
          <w:iCs/>
        </w:rPr>
        <w:t xml:space="preserve">Chlamydomonas klinobasis</w:t>
      </w:r>
      <w:r>
        <w:t xml:space="preserve"> </w:t>
      </w:r>
      <w:r>
        <w:t xml:space="preserve">is a freshwater microalga isolated from XXXX, around XX μm in length and YY μm in width, growing optimally at 4°C [CITATIONS MACKENZIE?].</w:t>
      </w:r>
      <w:r>
        <w:t xml:space="preserve"> </w:t>
      </w:r>
      <w:r>
        <w:t xml:space="preserve">The temperate</w:t>
      </w:r>
      <w:r>
        <w:t xml:space="preserve"> </w:t>
      </w:r>
      <w:r>
        <w:rPr>
          <w:i/>
          <w:iCs/>
        </w:rPr>
        <w:t xml:space="preserve">Chlamydomonas reinhardtii</w:t>
      </w:r>
      <w:r>
        <w:t xml:space="preserve"> </w:t>
      </w:r>
      <w:r>
        <w:t xml:space="preserve">is a model green alga approximately 10 μm in diamter, found in freshwater soil and aquatic environments with an optimal temperature range of 20-32°C</w:t>
      </w:r>
      <w:r>
        <w:t xml:space="preserve"> </w:t>
      </w:r>
      <w:r>
        <w:t xml:space="preserve">(Sasso et al., 2018; Xie et al., 2013)</w:t>
      </w:r>
      <w:r>
        <w:t xml:space="preserve">. The temperate</w:t>
      </w:r>
      <w:r>
        <w:t xml:space="preserve"> </w:t>
      </w:r>
      <w:r>
        <w:rPr>
          <w:i/>
          <w:iCs/>
        </w:rPr>
        <w:t xml:space="preserve">Chlamydomonas euryale</w:t>
      </w:r>
      <w:r>
        <w:t xml:space="preserve"> </w:t>
      </w:r>
      <w:r>
        <w:t xml:space="preserve">is approximately 10 μm in diameter, isolated from ZZZZ[MacKenzieCITATION], with an optimal temperature of ~24°C [CITATIONSXXX].</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t xml:space="preserve">XXXXMacKenzie add origins &amp; citations for C. euryale, C.klinobasis?</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5"/>
    <w:bookmarkStart w:id="30"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oxygen evolving complex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32 short, high irradiance evenly spaced flashes centred at 445 nm. Each flash comprised a rapid series of 50-70 sub-saturating flashlets of 1.6 µs and ~ 30000 µmol photons m</w:t>
      </w:r>
      <w:r>
        <w:rPr>
          <w:vertAlign w:val="superscript"/>
        </w:rPr>
        <w:t xml:space="preserve">-2</w:t>
      </w:r>
      <w:r>
        <w:t xml:space="preserve"> </w:t>
      </w:r>
      <w:r>
        <w:t xml:space="preserve">s</w:t>
      </w:r>
      <w:r>
        <w:rPr>
          <w:vertAlign w:val="superscript"/>
        </w:rPr>
        <w:t xml:space="preserve">-1</w:t>
      </w:r>
      <w:r>
        <w:t xml:space="preserve">, , delivered every 4.1 µs, over a total 205 - 287 µs per flash</w:t>
      </w:r>
      <w:r>
        <w:t xml:space="preserve"> </w:t>
      </w:r>
      <w:r>
        <w:t xml:space="preserve">(Schuback et al., 2021)</w:t>
      </w:r>
      <w:r>
        <w:t xml:space="preserve">. These flashlets cumulatively deliver a photon to each PSII in the population, with each PSII ideally undergoing a single round of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w:t>
      </w:r>
    </w:p>
    <w:p>
      <w:pPr>
        <w:pStyle w:val="BodyText"/>
      </w:pPr>
      <w:r>
        <w:t xml:space="preserve">XXXFix equationXXX</w:t>
      </w:r>
    </w:p>
    <w:p>
      <w:pPr>
        <w:pStyle w:val="BodyText"/>
      </w:pPr>
      <m:oMathPara>
        <m:oMathParaPr>
          <m:jc m:val="center"/>
        </m:oMathParaPr>
        <m:oMath>
          <m:f>
            <m:fPr>
              <m:type m:val="bar"/>
            </m:fPr>
            <m:num>
              <m:sSub>
                <m:e>
                  <m:r>
                    <m:t>F</m:t>
                  </m:r>
                </m:e>
                <m:sub>
                  <m:r>
                    <m:t>V</m:t>
                  </m:r>
                </m:sub>
              </m:sSub>
            </m:num>
            <m:den>
              <m:sSub>
                <m:e>
                  <m:r>
                    <m:t>F</m:t>
                  </m:r>
                </m:e>
                <m:sub>
                  <m:r>
                    <m:t>M</m:t>
                  </m:r>
                </m:sub>
              </m:sSub>
            </m:den>
          </m:f>
          <m:r>
            <m:rPr>
              <m:sty m:val="p"/>
            </m:rPr>
            <m:t>=</m:t>
          </m:r>
          <m:f>
            <m:fPr>
              <m:type m:val="bar"/>
            </m:fPr>
            <m:num>
              <m:sSub>
                <m:e>
                  <m:r>
                    <m:t>F</m:t>
                  </m:r>
                </m:e>
                <m:sub>
                  <m:r>
                    <m:t>M</m:t>
                  </m:r>
                </m:sub>
              </m:sSub>
              <m:r>
                <m:rPr>
                  <m:sty m:val="p"/>
                </m:rPr>
                <m:t>−</m:t>
              </m:r>
              <m:sSub>
                <m:e>
                  <m:r>
                    <m:t>F</m:t>
                  </m:r>
                </m:e>
                <m:sub>
                  <m:r>
                    <m:t>O</m:t>
                  </m:r>
                </m:sub>
              </m:sSub>
            </m:num>
            <m:den>
              <m:sSub>
                <m:e>
                  <m:r>
                    <m:t>F</m:t>
                  </m:r>
                </m:e>
                <m:sub>
                  <m:r>
                    <m:t>M</m:t>
                  </m:r>
                </m:sub>
              </m:sSub>
            </m:den>
          </m:f>
          <m:d>
            <m:dPr>
              <m:begChr m:val="("/>
              <m:sepChr m:val=""/>
              <m:endChr m:val=")"/>
              <m:grow/>
            </m:dPr>
            <m:e>
              <m:r>
                <m:rPr>
                  <m:sty m:val="p"/>
                </m:rPr>
                <m:t>#</m:t>
              </m:r>
              <m:r>
                <m:t>e</m:t>
              </m:r>
              <m:r>
                <m:t>q</m:t>
              </m:r>
              <m:r>
                <m:rPr>
                  <m:sty m:val="p"/>
                </m:rPr>
                <m:t>:</m:t>
              </m:r>
              <m:r>
                <m:t>F</m:t>
              </m:r>
              <m:sSub>
                <m:e>
                  <m:r>
                    <m:t>V</m:t>
                  </m:r>
                </m:e>
                <m:sub>
                  <m:r>
                    <m:t>F</m:t>
                  </m:r>
                </m:sub>
              </m:sSub>
              <m:r>
                <m:t>M</m:t>
              </m:r>
            </m:e>
          </m:d>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the higher probability of excitation delivery to PSII means fewer, or weaker, flashlets are required to sequentially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more numerous, or brighter, flashlets, to drive the proportion of closed reaction centres progressively towards saturation. If the brightness and number of sub-saturating flashlets are appropriate for the culture, the fluorescence will reach a plateau after approximately 70% of the flashlets are applied</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‘double hits’</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oxygen-evolving complex of PSII moves between S-States, it alters the system kinetics and free energy</w:t>
      </w:r>
      <w:r>
        <w:t xml:space="preserve"> </w:t>
      </w:r>
      <w:r>
        <w:t xml:space="preserve">(Vinyard et al., 2013)</w:t>
      </w:r>
      <w:r>
        <w:t xml:space="preserve">, so the yield of ChlF varies between S-States</w:t>
      </w:r>
      <w:r>
        <w:t xml:space="preserve"> </w:t>
      </w:r>
      <w:r>
        <w:t xml:space="preserve">(Gates et al., 2020)</w:t>
      </w:r>
      <w:r>
        <w:t xml:space="preserve">, and we can use ChlF to monitor S-State progression, until the PSII population desynchronizes to a distribution of S-States with an averaged ChlF.</w:t>
      </w:r>
    </w:p>
    <w:p>
      <w:pPr>
        <w:pStyle w:val="CaptionedFigure"/>
      </w:pPr>
      <w:r>
        <w:drawing>
          <wp:inline>
            <wp:extent cx="5943600" cy="3302000"/>
            <wp:effectExtent b="0" l="0" r="0" t="0"/>
            <wp:docPr descr="Fig 1: Representative oscillations of the maximum quantum yield of PSII photochemistry over a Series of Single Turnover Saturating Flashes applied to Chlamydomonas priscui. FV/FM was normalized to the average value over the series,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7" name="Picture"/>
            <a:graphic>
              <a:graphicData uri="http://schemas.openxmlformats.org/drawingml/2006/picture">
                <pic:pic>
                  <pic:nvPicPr>
                    <pic:cNvPr descr="Figures/Rep_osc.png" id="28" name="Picture"/>
                    <pic:cNvPicPr>
                      <a:picLocks noChangeArrowheads="1" noChangeAspect="1"/>
                    </pic:cNvPicPr>
                  </pic:nvPicPr>
                  <pic:blipFill>
                    <a:blip r:embed="rId26"/>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29" w:name="fig:reposc"/>
      <w:bookmarkEnd w:id="29"/>
      <w:r>
        <w:t xml:space="preserve">Fig 1:</w:t>
      </w:r>
      <w:r>
        <w:t xml:space="preserve"> </w:t>
      </w:r>
      <w:r>
        <w:rPr>
          <w:b/>
          <w:bCs/>
        </w:rPr>
        <w:t xml:space="preserve">Representative oscillations of the maximum quantum yield of PSII photochemistry over a Series of Single Turnover Saturating Flashes applied to</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30"/>
    <w:bookmarkStart w:id="32" w:name="measurements"/>
    <w:p>
      <w:pPr>
        <w:pStyle w:val="Heading2"/>
      </w:pPr>
      <w:r>
        <w:t xml:space="preserve">Measurements</w:t>
      </w:r>
    </w:p>
    <w:p>
      <w:pPr>
        <w:pStyle w:val="FirstParagraph"/>
      </w:pPr>
      <w:r>
        <w:t xml:space="preserve">By evaluating the oscillations in ChlF (Fig</w:t>
      </w:r>
      <w:r>
        <w:t xml:space="preserve"> </w:t>
      </w:r>
      <w:r>
        <w:t xml:space="preserve">1</w:t>
      </w:r>
      <w:r>
        <w:t xml:space="preserve">), we tracked S-State cycling of polar and temperate taxa of diatoms and green algae under a range of measurement temperatures and effective light levels (</w:t>
      </w:r>
      <w:r>
        <w:t xml:space="preserve">2</w:t>
      </w:r>
      <w:r>
        <w:t xml:space="preserve">), to determine if polar taxa maintain synchronized PSII function, as an index of their capacity for electron transport under low light, by suppressing wasteful photochemical misses. Measurement temperatures ranged from 0 to 28°C, depending on the taxa (</w:t>
      </w:r>
      <w:r>
        <w:t xml:space="preserve">2</w:t>
      </w:r>
      <w:r>
        <w:t xml:space="preserve">).</w:t>
      </w:r>
    </w:p>
    <w:p>
      <w:pPr>
        <w:pStyle w:val="BodyText"/>
      </w:pPr>
      <w:r>
        <w:t xml:space="preserve">Increasing the spacing between sequential flashes decreases the repeat rate for excitations arriving at PSII, thereby approximating a decrease in excitations delivered to PSII per second under a decrease in continuous irradiance (Fig</w:t>
      </w:r>
      <w:r>
        <w:t xml:space="preserve"> </w:t>
      </w:r>
      <w:r>
        <w:t xml:space="preserve">1</w:t>
      </w:r>
      <w:r>
        <w:t xml:space="preserve">). Our instrument control limited our minimum flash spacing to 1 s, so cultures were evaluated at flash spacings of 1, 2, 4, 8, and 16 seconds (</w:t>
      </w:r>
      <w:r>
        <w:t xml:space="preserve">2</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w:r>
        <w:t xml:space="preserve">XXXFix EquationXXX</w:t>
      </w:r>
    </w:p>
    <w:p>
      <w:pPr>
        <w:pStyle w:val="BodyText"/>
      </w:pPr>
      <w:r>
        <w:t xml:space="preserve">$$\begin{equation}
    Light (µmol~photons~m^{-2}~s^{-1}) = \frac{{1}{flash~spacing (s)} X \frac{{1}{\sigma_{PSII} (A^{2})}} X \frac{1 m^{2}}{1E20A^{2}}  X  \frac{{\mu mol}{6.022E17}}
      \qquad(1)
    \end{equation}$$</w:t>
      </w:r>
    </w:p>
    <w:p>
      <w:pPr>
        <w:pStyle w:val="FirstParagraph"/>
      </w:pPr>
      <w:r>
        <w:t xml:space="preserve">OR</w:t>
      </w:r>
    </w:p>
    <w:p>
      <w:pPr>
        <w:pStyle w:val="BodyText"/>
      </w:pPr>
      <w:r>
        <w:t xml:space="preserve">$$\begin{equation}
    Light (µmol~photons~m^{-2}~s^{-1}) = \frac{{1 m^{2} X \mu mol}{flash~spacing (s) X \sigma_{PSII} (A^{2}) X 1E20A^{2}  X  6.022E17}
      \qquad(1)
    \end{equation}$$</w:t>
      </w:r>
    </w:p>
    <w:p>
      <w:pPr>
        <w:pStyle w:val="FirstParagraph"/>
      </w:pPr>
      <w:r>
        <w:t xml:space="preserve">$$
    Light (\mu mol \photon m^{-2} s^{-1}) = \frac{1}{flash spacing (s)} * {\frac{1}{\sigma_{PSII} (A^{2})} * \frac{1 m^{2}}{1E20A^{2}} * \frac{\mu mol}{6.022E17}
    $$</w:t>
      </w:r>
    </w:p>
    <w:p>
      <w:pPr>
        <w:pStyle w:val="FirstParagraph"/>
      </w:pPr>
      <w:r>
        <w:t xml:space="preserve">1/σPSII is multiplied by flash spacing (s) to convert the probability that an individual incident photon is absorbed by PSII, into an equivalent photon flux density, i.e. to estimate effective light availability serving PSII photochemistry.</w:t>
      </w:r>
    </w:p>
    <w:p>
      <w:pPr>
        <w:pStyle w:val="BodyText"/>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four-step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measurement temperature within a sample.</w:t>
      </w:r>
    </w:p>
    <w:p>
      <w:pPr>
        <w:pStyle w:val="TableCaption"/>
      </w:pPr>
      <w:bookmarkStart w:id="31" w:name="tab:fluormeas"/>
      <w:bookmarkEnd w:id="31"/>
      <w:r>
        <w:t xml:space="preserve">Table 2: 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2: Study taxa and single turnover saturating flash measurement conditions, with equivalent effective light levels (µmol photons m-2s-1)."/>
      </w:tblPr>
      <w:tblGrid>
        <w:gridCol w:w="1560"/>
        <w:gridCol w:w="1140"/>
        <w:gridCol w:w="1800"/>
        <w:gridCol w:w="1320"/>
        <w:gridCol w:w="1500"/>
        <w:gridCol w:w="600"/>
      </w:tblGrid>
      <w:tr>
        <w:trPr>
          <w:tblHeader w:val="on"/>
        </w:trPr>
        <w:tc>
          <w:tcPr/>
          <w:p>
            <w:pPr>
              <w:pStyle w:val="Compact"/>
              <w:jc w:val="left"/>
            </w:pPr>
            <w:r>
              <w:t xml:space="preserve">Taxa</w:t>
            </w:r>
          </w:p>
        </w:tc>
        <w:tc>
          <w:tcPr/>
          <w:p>
            <w:pPr>
              <w:pStyle w:val="Compact"/>
              <w:jc w:val="right"/>
            </w:pPr>
            <w:r>
              <w:t xml:space="preserve">Flash Spacings (s)</w:t>
            </w:r>
          </w:p>
        </w:tc>
        <w:tc>
          <w:tcPr/>
          <w:p>
            <w:pPr>
              <w:pStyle w:val="Compact"/>
              <w:jc w:val="right"/>
            </w:pPr>
            <w:r>
              <w:t xml:space="preserve">Measurement Temperatures (°C)</w:t>
            </w:r>
          </w:p>
        </w:tc>
        <w:tc>
          <w:tcPr/>
          <w:p>
            <w:pPr>
              <w:pStyle w:val="Compact"/>
              <w:jc w:val="right"/>
            </w:pPr>
            <w:r>
              <w:t xml:space="preserve">Equivalent Light (µE)</w:t>
            </w:r>
          </w:p>
        </w:tc>
        <w:tc>
          <w:tcPr/>
          <w:p>
            <w:pPr>
              <w:pStyle w:val="Compact"/>
              <w:jc w:val="right"/>
            </w:pPr>
            <w:r>
              <w:t xml:space="preserve">Growth Temperatures (°C)</w:t>
            </w:r>
          </w:p>
        </w:tc>
        <w:tc>
          <w:tcPr/>
          <w:p>
            <w:pPr>
              <w:pStyle w:val="Compact"/>
              <w:jc w:val="right"/>
            </w:pPr>
            <w:r>
              <w:t xml:space="preserve">NaCl (mM)</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0.70619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0.73733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0.76025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0.70195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0.71115</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0.74576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0.71579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0.74750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0.75646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0.69095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0.71163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0.71551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0.35324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0.37070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0.34453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0.34781</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0.35646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0.36837</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0.36973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0.37018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0.31991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0.35392</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0.35483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0.17211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0.18028</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0.18390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0.16972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0.17013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0.17835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0.17743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0.17970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0.18311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0.17541</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0.17756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0.08293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0.08883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0.09005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0.08460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0.08532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0.08600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0.08677</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0.09158</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0.09232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0.08155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0.08850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0.08943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0.04380</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0.04410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0.04515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0.04265</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0.04311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0.04359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0.04598</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0.04651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0.04738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0.04323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0.04505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0.04612</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0.73733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0.71644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0.67904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0.36369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0.35457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0.33588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0.17929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0.17562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0.16533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0.08936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0.08720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0.08271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0.04471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0.04432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0.04252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0.74547</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0.75323</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0.80500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0.74450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0.75012</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0.80484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0.71713</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0.73108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0.77089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0.70120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0.70328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0.74429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0.79330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0.37796</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0.37948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0.40574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0.37628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0.37973</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0.40446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0.36172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0.36810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0.38681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0.19017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0.19031</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0.20088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0.18882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0.18927</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0.20074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0.18045</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0.18250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0.19023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0.17588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0.17686</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0.18326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0.19167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0.09451</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0.09547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0.09934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0.09364</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0.09368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0.09829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0.08929</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0.08956</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0.09322</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0.08648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0.08807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0.08920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0.09427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0.04650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0.04726</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0.04878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0.04608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0.04620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0.04790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0.04400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0.04469</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0.04594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0.04382</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0.04441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0.04442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0.04734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0.64326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0.74445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0.78258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0.64944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0.65549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0.72400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0.73611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0.59352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0.65817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0.69658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0.70403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0.57065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0.60195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0.69271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0.69536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0.32434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0.37749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0.39601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0.31635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0.32365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0.36867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0.37276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0.30068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0.32339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0.35373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0.35643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0.29669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0.16420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0.19367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0.19903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0.16128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0.16230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0.18699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0.18764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0.15032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0.16084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0.17698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0.17820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0.14637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0.14752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0.17194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0.17375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0.08173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0.09981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0.10038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0.08023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0.08260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0.09246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0.09298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0.07425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0.07944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0.08759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0.08763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0.07154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0.07333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0.08287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0.08548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0.04966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0.04969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0.03987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0.04002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0.04499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0.04549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0.03654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0.04035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0.04251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0.04258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0.03488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0.03705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0.04046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0.04219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0.68203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0.78891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0.82135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0.70549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0.77084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0.77084</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0.78265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0.81319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0.65205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0.69822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0.69822</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0.76142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0.76268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0.65410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0.65410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0.66985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0.78727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0.80266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0.65046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0.67108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0.79219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0.34937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0.40357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0.41525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0.33507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0.38457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0.38457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0.39734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0.40813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0.32823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0.35141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0.35141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0.37875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0.38475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0.32278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0.32662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0.32662</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0.34593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0.36895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0.30769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0.35922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0.39011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0.39025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0.51235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0.17514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0.20122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0.20896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0.17948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0.19277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0.19277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0.19802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0.20141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0.16319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0.17520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0.17520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0.18819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0.19212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0.16321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0.16321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0.16723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0.19074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0.19644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0.16327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0.16513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0.19307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0.08950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0.10132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0.10249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0.09120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0.09560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0.09560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0.09934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0.10002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0.08298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0.08747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0.08747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0.09134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0.09536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0.08198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0.08198</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0.08317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0.09279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0.09544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0.08186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0.08318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0.09356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0.04628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0.05054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0.05055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0.04565</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0.04648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0.04860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0.04907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0.04163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0.04418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0.04418</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0.04454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0.04495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0.04169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0.04281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0.04281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0.04585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0.04617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0.04225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0.04312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0.04671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NA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0.83039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1.00406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1.00963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1.02789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0.77838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0.96127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1.06233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1.07464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0.80831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1.03039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1.03987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1.05276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0.84377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0.92300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1.02344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1.03318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0.95515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1.00251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1.01890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1.01954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0.41022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0.38094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0.45294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0.46377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0.51372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0.40132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0.48682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0.49294</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0.51033</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0.41131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0.49102</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0.49625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0.50351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0.47645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0.49136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0.49669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0.19990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0.24874</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0.25258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0.25726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0.18599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0.25751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0.26563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0.26832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0.19950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0.23712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0.25153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0.26341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0.20414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0.23129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0.23658</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0.25271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0.24729</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0.24866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0.25143</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0.09797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0.12240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0.12285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0.12664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0.09155</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0.12455</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0.12737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0.13254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0.09960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0.11621</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0.12256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0.12955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0.10466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0.12228</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0.12647</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0.12666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0.12037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0.12442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0.12687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0.04879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0.05928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0.06074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0.06362</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0.04670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0.05707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0.06164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0.06606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0.05152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0.06090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0.06183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0.06414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0.05254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0.06109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0.06243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0.06319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0.06066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0.06091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0.06236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0.60264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0.65678</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0.48962</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0.54545</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0.61098</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0.64889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0.60264</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0.77226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0.03644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0.03965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0.02981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0.03384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0.03476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0.03863</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0.03644</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0.04774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0.30029</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0.32826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0.24346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0.27117</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0.30507</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0.32415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0.30029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0.38422</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0.14881</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0.16276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0.12075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0.13375</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0.15186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0.16169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0.14881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0.19033</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0.07329</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0.08049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0.05961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0.06600</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0.07493</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0.07912</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0.07329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0.09308</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0.89642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0.84830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0.89781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0.85379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0.81455</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0.05256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0.05102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0.05271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0.05257</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0.05206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0.44111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0.41880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0.43990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0.41676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0.41394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0.21780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0.20730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0.21460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0.20720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0.20306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0.10689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0.10240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0.10540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0.10241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0.10200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0.53428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0.43574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0.41504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0.38983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0.52157</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0.38402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0.42081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0.03180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0.02518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0.02568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0.02449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0.03021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0.02588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0.02428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0.26530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0.21333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0.20783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0.19361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0.26359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0.19054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0.18820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0.13432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0.10699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0.10402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0.09670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0.12684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0.09699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0.09461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0.06603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0.05358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0.05231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0.04852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0.06450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0.04928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0.04766</w:t>
            </w:r>
          </w:p>
        </w:tc>
        <w:tc>
          <w:tcPr/>
          <w:p>
            <w:pPr>
              <w:pStyle w:val="Compact"/>
              <w:jc w:val="right"/>
            </w:pPr>
            <w:r>
              <w:t xml:space="preserve">22</w:t>
            </w:r>
          </w:p>
        </w:tc>
        <w:tc>
          <w:tcPr/>
          <w:p>
            <w:pPr>
              <w:pStyle w:val="Compact"/>
              <w:jc w:val="right"/>
            </w:pPr>
            <w:r>
              <w:t xml:space="preserve">0.43</w:t>
            </w:r>
          </w:p>
        </w:tc>
      </w:tr>
    </w:tbl>
    <w:bookmarkEnd w:id="32"/>
    <w:bookmarkStart w:id="33"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(Roesch and Schmidbauer, 2018)</w:t>
      </w:r>
      <w:r>
        <w:t xml:space="preserve"> </w:t>
      </w:r>
      <w:r>
        <w:t xml:space="preserve">packages were used for wavelet analyses. The mgcv</w:t>
      </w:r>
      <w:r>
        <w:t xml:space="preserve"> </w:t>
      </w:r>
      <w:r>
        <w:t xml:space="preserve">(Wood, 2011)</w:t>
      </w:r>
      <w:r>
        <w:t xml:space="preserve"> </w:t>
      </w:r>
      <w:r>
        <w:t xml:space="preserve">and mgcViz</w:t>
      </w:r>
      <w:r>
        <w:t xml:space="preserve"> </w:t>
      </w:r>
      <w:r>
        <w:t xml:space="preserve">(Fasiolo et al., 2020)</w:t>
      </w:r>
      <w:r>
        <w:t xml:space="preserve"> </w:t>
      </w:r>
      <w:r>
        <w:t xml:space="preserve">packages were used for generalized additive modelling, while the ggplot2</w:t>
      </w:r>
      <w:r>
        <w:t xml:space="preserve"> </w:t>
      </w:r>
      <w:r>
        <w:t xml:space="preserve">(Wickham, 2016)</w:t>
      </w:r>
      <w:r>
        <w:t xml:space="preserve">, ggh4x</w:t>
      </w:r>
      <w:r>
        <w:t xml:space="preserve"> </w:t>
      </w:r>
      <w:r>
        <w:t xml:space="preserve">(van den Brand, 2025)</w:t>
      </w:r>
      <w:r>
        <w:t xml:space="preserve">, and metR</w:t>
      </w:r>
      <w:r>
        <w:t xml:space="preserve"> </w:t>
      </w:r>
      <w:r>
        <w:t xml:space="preserve">(Campitelli, 2021)</w:t>
      </w:r>
      <w:r>
        <w:t xml:space="preserve"> </w:t>
      </w:r>
      <w:r>
        <w:t xml:space="preserve">packages were used for data visualization. Statistical results tables were done using the packages</w:t>
      </w:r>
      <w:r>
        <w:t xml:space="preserve"> </w:t>
      </w:r>
      <w:r>
        <w:t xml:space="preserve">‘broom’</w:t>
      </w:r>
      <w:r>
        <w:t xml:space="preserve"> </w:t>
      </w:r>
      <w:r>
        <w:t xml:space="preserve">(Robinson et al., 2025)</w:t>
      </w:r>
      <w:r>
        <w:t xml:space="preserve">,</w:t>
      </w:r>
      <w:r>
        <w:t xml:space="preserve"> </w:t>
      </w:r>
      <w:r>
        <w:t xml:space="preserve">‘knitr’</w:t>
      </w:r>
      <w:r>
        <w:t xml:space="preserve"> </w:t>
      </w:r>
      <w:r>
        <w:t xml:space="preserve">(Xie, 2025)</w:t>
      </w:r>
      <w:r>
        <w:t xml:space="preserve">, and</w:t>
      </w:r>
      <w:r>
        <w:t xml:space="preserve"> </w:t>
      </w:r>
      <w:r>
        <w:t xml:space="preserve">‘kableExtra’</w:t>
      </w:r>
      <w:r>
        <w:t xml:space="preserve"> </w:t>
      </w:r>
      <w:r>
        <w:t xml:space="preserve">(Zhu, 2024)</w:t>
      </w:r>
      <w:r>
        <w:t xml:space="preserve">.</w:t>
      </w:r>
    </w:p>
    <w:bookmarkEnd w:id="33"/>
    <w:bookmarkStart w:id="38"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light levels from 0.708 down to 0.045 µmol photons m-2 s-1." title="" id="35" name="Picture"/>
            <a:graphic>
              <a:graphicData uri="http://schemas.openxmlformats.org/drawingml/2006/picture">
                <pic:pic>
                  <pic:nvPicPr>
                    <pic:cNvPr descr="Figures/Rep_recon.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7" w:name="fig:reprecon"/>
      <w:bookmarkEnd w:id="37"/>
      <w:r>
        <w:t xml:space="preserve">Fig 2: Representative wavelet transformations of Antarctic</w:t>
      </w:r>
      <w:r>
        <w:t xml:space="preserve"> </w:t>
      </w:r>
      <w:r>
        <w:rPr>
          <w:i/>
          <w:iCs/>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8"/>
    <w:bookmarkStart w:id="39" w:name="generalized-additive-modelling"/>
    <w:p>
      <w:pPr>
        <w:pStyle w:val="Heading2"/>
      </w:pPr>
      <w:r>
        <w:t xml:space="preserve">Generalized Additive Modelling</w:t>
      </w:r>
    </w:p>
    <w:p>
      <w:pPr>
        <w:pStyle w:val="FirstParagraph"/>
      </w:pPr>
      <w:r>
        <w:t xml:space="preserve">The patterns in the persistence of S-State cycling within taxa were then modeled using the nonparametric method of generalized additive modelling (GAM). GAMs fit a model to predict the damping index based on a tensor product smooth of the two predictors, measurement temperature, and equivalent effective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(Table</w:t>
      </w:r>
      <w:r>
        <w:t xml:space="preserve"> </w:t>
      </w:r>
      <w:r>
        <w:t xml:space="preserve">??</w:t>
      </w:r>
      <w:r>
        <w:t xml:space="preserve">)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The generalized additive models were fitted using the R-package</w:t>
      </w:r>
      <w:r>
        <w:t xml:space="preserve"> </w:t>
      </w:r>
      <w:r>
        <w:rPr>
          <w:rStyle w:val="VerbatimChar"/>
          <w:i/>
          <w:iCs/>
        </w:rPr>
        <w:t xml:space="preserve">mgcv</w:t>
      </w:r>
      <w:r>
        <w:t xml:space="preserve"> </w:t>
      </w:r>
      <w:r>
        <w:t xml:space="preserve">(Wood, 2025)</w:t>
      </w:r>
      <w:r>
        <w:t xml:space="preserve">. Only S-State damping estimates for which the amplitude of standard error was smaller than 320% of the fitted</w:t>
      </w:r>
      <w:r>
        <w:t xml:space="preserve"> </w:t>
      </w:r>
      <w:r>
        <w:t xml:space="preserve">S-State damping were included in the GAM. Models were validated by verifying the choice of basis dimensions (k) and evaluating the residual plots</w:t>
      </w:r>
      <w:r>
        <w:t xml:space="preserve"> </w:t>
      </w:r>
      <w:r>
        <w:t xml:space="preserve">(Schoenig et al., 2023)</w:t>
      </w:r>
      <w:r>
        <w:t xml:space="preserve"> </w:t>
      </w:r>
      <w:r>
        <w:t xml:space="preserve">using gam.check() from the R-package</w:t>
      </w:r>
      <w:r>
        <w:t xml:space="preserve"> </w:t>
      </w:r>
      <w:r>
        <w:rPr>
          <w:rStyle w:val="VerbatimChar"/>
          <w:i/>
          <w:iCs/>
        </w:rPr>
        <w:t xml:space="preserve">mgcv</w:t>
      </w:r>
      <w:r>
        <w:t xml:space="preserve"> </w:t>
      </w:r>
      <w:r>
        <w:t xml:space="preserve">(Wood, 2025)</w:t>
      </w:r>
      <w:r>
        <w:t xml:space="preserve"> </w:t>
      </w:r>
      <w:r>
        <w:t xml:space="preserve">(Table</w:t>
      </w:r>
      <w:r>
        <w:t xml:space="preserve"> </w:t>
      </w:r>
      <w:r>
        <w:t xml:space="preserve">??</w:t>
      </w:r>
      <w:r>
        <w:t xml:space="preserve">). Based on the fitted models, the damping index can then be predicted for other combinations of temperature and light</w:t>
      </w:r>
      <w:r>
        <w:t xml:space="preserve"> </w:t>
      </w:r>
      <w:r>
        <w:t xml:space="preserve">(Wood, 2017)</w:t>
      </w:r>
      <w:r>
        <w:t xml:space="preserve">, represented with a contour plot.</w:t>
      </w:r>
    </w:p>
    <w:bookmarkEnd w:id="39"/>
    <w:bookmarkStart w:id="40" w:name="analyses-of-variance"/>
    <w:p>
      <w:pPr>
        <w:pStyle w:val="Heading2"/>
      </w:pPr>
      <w:r>
        <w:t xml:space="preserve">Analyses of Variance</w:t>
      </w:r>
    </w:p>
    <w:p>
      <w:pPr>
        <w:pStyle w:val="FirstParagraph"/>
      </w:pPr>
      <w:r>
        <w:t xml:space="preserve">Analyses of Variance (ANOVA) were run using the aov function</w:t>
      </w:r>
      <w:r>
        <w:t xml:space="preserve"> </w:t>
      </w:r>
      <w:r>
        <w:t xml:space="preserve">(R Core Team, 2023)</w:t>
      </w:r>
      <w:r>
        <w:t xml:space="preserve"> </w:t>
      </w:r>
      <w:r>
        <w:t xml:space="preserve">to detect effects of taxa , measurement equivalent effective light levels (derived from flash spacing), measurement temperature, and growth salinity, upon the Damping Index.</w:t>
      </w:r>
    </w:p>
    <w:bookmarkEnd w:id="40"/>
    <w:bookmarkEnd w:id="41"/>
    <w:bookmarkStart w:id="61" w:name="results"/>
    <w:p>
      <w:pPr>
        <w:pStyle w:val="Heading1"/>
      </w:pPr>
      <w:r>
        <w:t xml:space="preserve">Results</w:t>
      </w:r>
    </w:p>
    <w:bookmarkStart w:id="42" w:name="X751d85612684049c408471e0af01b1d1e65a0ea"/>
    <w:p>
      <w:pPr>
        <w:pStyle w:val="Heading2"/>
      </w:pPr>
      <w:r>
        <w:t xml:space="preserve">Single Turnover Variable Chlorophyll Fluorescence</w:t>
      </w:r>
    </w:p>
    <w:p>
      <w:pPr>
        <w:pStyle w:val="FirstParagraph"/>
      </w:pPr>
      <w:r>
        <w:t xml:space="preserve">Exposing phytoplankton cultures to a series of 20-32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representative data from polar</w:t>
      </w:r>
      <w:r>
        <w:t xml:space="preserve"> </w:t>
      </w:r>
      <w:r>
        <w:rPr>
          <w:i/>
          <w:iCs/>
        </w:rPr>
        <w:t xml:space="preserve">Chlamydomonas priscui</w:t>
      </w:r>
      <w:r>
        <w:t xml:space="preserve"> </w:t>
      </w:r>
      <w:r>
        <w:t xml:space="preserve">Fig</w:t>
      </w:r>
      <w:r>
        <w:t xml:space="preserve"> </w:t>
      </w:r>
      <w:r>
        <w:t xml:space="preserve">1</w:t>
      </w:r>
      <w:r>
        <w:t xml:space="preserve"> </w:t>
      </w:r>
      <w:r>
        <w:t xml:space="preserve">and temperate</w:t>
      </w:r>
      <w:r>
        <w:t xml:space="preserve"> </w:t>
      </w:r>
      <w:r>
        <w:rPr>
          <w:i/>
          <w:iCs/>
        </w:rPr>
        <w:t xml:space="preserve">Chlamydomonas rheinhardtii</w:t>
      </w:r>
      <w:r>
        <w:t xml:space="preserve"> </w:t>
      </w:r>
      <w:r>
        <w:t xml:space="preserve">Fig</w:t>
      </w:r>
      <w:r>
        <w:t xml:space="preserve"> </w:t>
      </w:r>
      <w:r>
        <w:t xml:space="preserve">2</w:t>
      </w:r>
      <w:r>
        <w:t xml:space="preserve">, each grown at respective optimal salinities,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however, decline progressively over successive flashes. The persistence of oscillations decreases with wider spacing between sequential flashes, equivalent to decreasing effective light levels, and at higher measurement temperatures. The full set of S-State time courses captured across taxa and growth salinities are in Supplemental Data. XXX</w:t>
      </w:r>
    </w:p>
    <w:p>
      <w:pPr>
        <w:pStyle w:val="BodyText"/>
      </w:pPr>
      <w:r>
        <w:t xml:space="preserve">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synchronous cycling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temperature within a sample.</w:t>
      </w:r>
    </w:p>
    <w:p>
      <w:pPr>
        <w:pStyle w:val="BodyText"/>
      </w:pPr>
      <w:r>
        <w:t xml:space="preserve">The conversions of flash spacing to equivalent effective light levels gave similar ranges of light levels applied to each strain (Table</w:t>
      </w:r>
      <w:r>
        <w:t xml:space="preserve"> </w:t>
      </w:r>
      <w:r>
        <w:t xml:space="preserve">2</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measurement light ranges are ~ 5 orders of magnitude lower than full sunlight, and ~ 2-3 orders of magnitude below the minimum photic zone threshold, but nevertheless span light ranges found to support phytoplankton productivity in field studies</w:t>
      </w:r>
      <w:r>
        <w:t xml:space="preserve"> </w:t>
      </w:r>
      <w:r>
        <w:t xml:space="preserve">(Hancke et al., 2018; Randelhoff et al., 2020; Hoppe et al., 2024)</w:t>
      </w:r>
      <w:r>
        <w:t xml:space="preserve">.</w:t>
      </w:r>
    </w:p>
    <w:bookmarkEnd w:id="42"/>
    <w:bookmarkStart w:id="51"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declines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Antarctic green algae Chlamydomonas priscui, grown at 4°C and 500 mM NaCl, and measured across a range of measurement temperatures and flash spacings, with the equivalent effective light levels. Regions where wavelet power reached statistical significance (p &lt; 0.05) are shaded in blue." title="" id="44" name="Picture"/>
            <a:graphic>
              <a:graphicData uri="http://schemas.openxmlformats.org/drawingml/2006/picture">
                <pic:pic>
                  <pic:nvPicPr>
                    <pic:cNvPr descr="Figures/Cpriscui_waveletpower.png" id="45" name="Picture"/>
                    <pic:cNvPicPr>
                      <a:picLocks noChangeArrowheads="1" noChangeAspect="1"/>
                    </pic:cNvPicPr>
                  </pic:nvPicPr>
                  <pic:blipFill>
                    <a:blip r:embed="rId43"/>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6" w:name="fig:cpriscuiwaveletpower"/>
      <w:bookmarkEnd w:id="46"/>
      <w:r>
        <w:t xml:space="preserve">Fig 3: Sample plot of wavelet powers by period of oscillations in the maximum quantum yield of photochemistry Antarctic green algae</w:t>
      </w:r>
      <w:r>
        <w:t xml:space="preserve"> </w:t>
      </w:r>
      <w:r>
        <w:rPr>
          <w:i/>
          <w:iCs/>
        </w:rPr>
        <w:t xml:space="preserve">Chlamydomonas priscui</w:t>
      </w:r>
      <w:r>
        <w:t xml:space="preserve">, grown at 4°C and 500 mM NaCl,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4</w:t>
      </w:r>
      <w:r>
        <w:t xml:space="preserve">), the wavelet power is consistently lower, showing a weaker 4-step periodicity of ChlF in the temperate taxa, which only reaches statistical significance at shorter flash spacings, with higher equivalent effective light levels.</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Regions where wavelet power reached statistical significance (p &lt; 0.05) shaded in blue." title="" id="48" name="Picture"/>
            <a:graphic>
              <a:graphicData uri="http://schemas.openxmlformats.org/drawingml/2006/picture">
                <pic:pic>
                  <pic:nvPicPr>
                    <pic:cNvPr descr="Figures/Creinhardtii_waveletpower.png" id="49" name="Picture"/>
                    <pic:cNvPicPr>
                      <a:picLocks noChangeArrowheads="1" noChangeAspect="1"/>
                    </pic:cNvPicPr>
                  </pic:nvPicPr>
                  <pic:blipFill>
                    <a:blip r:embed="rId47"/>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50" w:name="fig:creinhardtiiiwaveletpower"/>
      <w:bookmarkEnd w:id="50"/>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0.43 mM NaCl, and measured across a range of measurement temperatures and flash spacings, with the equivalent effective light levels. Regions where wavelet power reached statistical significance (p &lt; 0.05) shaded in blue.</w:t>
      </w:r>
    </w:p>
    <w:bookmarkEnd w:id="51"/>
    <w:bookmarkStart w:id="60"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((Table</w:t>
      </w:r>
      <w:r>
        <w:t xml:space="preserve"> </w:t>
      </w:r>
      <w:r>
        <w:t xml:space="preserve">??</w:t>
      </w:r>
      <w:r>
        <w:t xml:space="preserve">), Table (</w:t>
      </w:r>
      <w:r>
        <w:t xml:space="preserve">2</w:t>
      </w:r>
      <w:r>
        <w:t xml:space="preserve">)) set by flash spacing, for each strain (Table</w:t>
      </w:r>
      <w:r>
        <w:t xml:space="preserve"> </w:t>
      </w:r>
      <w:r>
        <w:t xml:space="preserve">??</w:t>
      </w:r>
      <w:r>
        <w:t xml:space="preserve">). All of the model fits explained over 50% of the variation in the response variable, damping index, except the GAM fits for</w:t>
      </w:r>
      <w:r>
        <w:t xml:space="preserve"> </w:t>
      </w:r>
      <w:r>
        <w:rPr>
          <w:i/>
          <w:iCs/>
        </w:rPr>
        <w:t xml:space="preserve">C. euryale</w:t>
      </w:r>
      <w:r>
        <w:t xml:space="preserve">, which failed. Both diatom taxa exhibited the longest predicted periodic oscillations in ChlF at higher effective light levels and lower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5</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Similarly the GAM outputs varied among the green algae tested (Table</w:t>
      </w:r>
      <w:r>
        <w:t xml:space="preserve"> </w:t>
      </w:r>
      <w:r>
        <w:t xml:space="preserve">??</w:t>
      </w:r>
      <w:r>
        <w:t xml:space="preserve">). The polar, saline strains</w:t>
      </w:r>
      <w:r>
        <w:t xml:space="preserve"> </w:t>
      </w:r>
      <w:r>
        <w:rPr>
          <w:i/>
          <w:iCs/>
        </w:rPr>
        <w:t xml:space="preserve">Chlamydomonas</w:t>
      </w:r>
      <w:r>
        <w:t xml:space="preserve"> </w:t>
      </w:r>
      <w:r>
        <w:t xml:space="preserve">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showed GAM model predictions of maximum damping indices of ~ 10-11 flashes, centred at lower temperatures but extending over a wide range of effective light levels</w:t>
      </w:r>
      <w:r>
        <w:t xml:space="preserve"> </w:t>
      </w:r>
      <w:r>
        <w:t xml:space="preserve">(Fig</w:t>
      </w:r>
      <w:r>
        <w:t xml:space="preserve"> </w:t>
      </w:r>
      <w:r>
        <w:t xml:space="preserve">6</w:t>
      </w:r>
      <w:r>
        <w:t xml:space="preserve">). The polar freshwater **Chlamydomonas klinobasis* also showed maximum damping indices at lower temperatures, across a range of effective light levels. Further, much like the temperate diatoms, the freshwater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 The marine temperate</w:t>
      </w:r>
      <w:r>
        <w:t xml:space="preserve"> </w:t>
      </w:r>
      <w:r>
        <w:rPr>
          <w:i/>
          <w:iCs/>
        </w:rPr>
        <w:t xml:space="preserve">Chlamydomonas klinobasis</w:t>
      </w:r>
      <w:r>
        <w:t xml:space="preserve"> </w:t>
      </w:r>
      <w:r>
        <w:t xml:space="preserve">did not generate a statistically significant GAM model, consistent with limited evidence for periodic oscillations from</w:t>
      </w:r>
      <w:r>
        <w:t xml:space="preserve"> </w:t>
      </w:r>
      <w:r>
        <w:rPr>
          <w:i/>
          <w:iCs/>
        </w:rPr>
        <w:t xml:space="preserve">Chlamydomonas klinobasis</w:t>
      </w:r>
      <w:r>
        <w:t xml:space="preserve">.</w:t>
      </w:r>
    </w:p>
    <w:p>
      <w:pPr>
        <w:pStyle w:val="BodyText"/>
      </w:pPr>
      <w:r>
        <w:t xml:space="preserve">Strain</w:t>
      </w:r>
    </w:p>
    <w:p>
      <w:pPr>
        <w:pStyle w:val="BodyText"/>
      </w:pPr>
      <w:r>
        <w:t xml:space="preserve">term</w:t>
      </w:r>
    </w:p>
    <w:p>
      <w:pPr>
        <w:pStyle w:val="BodyText"/>
      </w:pPr>
      <w:r>
        <w:t xml:space="preserve">edf</w:t>
      </w:r>
    </w:p>
    <w:p>
      <w:pPr>
        <w:pStyle w:val="BodyText"/>
      </w:pPr>
      <w:r>
        <w:t xml:space="preserve">ref.df</w:t>
      </w:r>
    </w:p>
    <w:p>
      <w:pPr>
        <w:pStyle w:val="BodyText"/>
      </w:pPr>
      <w:r>
        <w:t xml:space="preserve">statistic</w:t>
      </w:r>
    </w:p>
    <w:p>
      <w:pPr>
        <w:pStyle w:val="BodyText"/>
      </w:pPr>
      <w:r>
        <w:t xml:space="preserve">p.value</w:t>
      </w:r>
    </w:p>
    <w:p>
      <w:pPr>
        <w:pStyle w:val="BodyText"/>
      </w:pPr>
      <w:r>
        <w:t xml:space="preserve">Fragilariopsis_cylindrus</w:t>
      </w:r>
    </w:p>
    <w:p>
      <w:pPr>
        <w:pStyle w:val="BodyText"/>
      </w:pPr>
      <w:r>
        <w:t xml:space="preserve">s(LightLevel_ue)</w:t>
      </w:r>
    </w:p>
    <w:p>
      <w:pPr>
        <w:pStyle w:val="BodyText"/>
      </w:pPr>
      <w:r>
        <w:t xml:space="preserve">1.829</w:t>
      </w:r>
    </w:p>
    <w:p>
      <w:pPr>
        <w:pStyle w:val="BodyText"/>
      </w:pPr>
      <w:r>
        <w:t xml:space="preserve">1.971</w:t>
      </w:r>
    </w:p>
    <w:p>
      <w:pPr>
        <w:pStyle w:val="BodyText"/>
      </w:pPr>
      <w:r>
        <w:t xml:space="preserve">4.714</w:t>
      </w:r>
    </w:p>
    <w:p>
      <w:pPr>
        <w:pStyle w:val="BodyText"/>
      </w:pPr>
      <w:r>
        <w:t xml:space="preserve">0.032</w:t>
      </w:r>
    </w:p>
    <w:p>
      <w:pPr>
        <w:pStyle w:val="BodyText"/>
      </w:pPr>
      <w:r>
        <w:t xml:space="preserve">Fragilariopsis_cylindrus</w:t>
      </w:r>
    </w:p>
    <w:p>
      <w:pPr>
        <w:pStyle w:val="BodyText"/>
      </w:pPr>
      <w:r>
        <w:t xml:space="preserve">s(Temp_C)</w:t>
      </w:r>
    </w:p>
    <w:p>
      <w:pPr>
        <w:pStyle w:val="BodyText"/>
      </w:pPr>
      <w:r>
        <w:t xml:space="preserve">1.000</w:t>
      </w:r>
    </w:p>
    <w:p>
      <w:pPr>
        <w:pStyle w:val="BodyText"/>
      </w:pPr>
      <w:r>
        <w:t xml:space="preserve">1.000</w:t>
      </w:r>
    </w:p>
    <w:p>
      <w:pPr>
        <w:pStyle w:val="BodyText"/>
      </w:pPr>
      <w:r>
        <w:t xml:space="preserve">0.056</w:t>
      </w:r>
    </w:p>
    <w:p>
      <w:pPr>
        <w:pStyle w:val="BodyText"/>
      </w:pPr>
      <w:r>
        <w:t xml:space="preserve">0.817</w:t>
      </w:r>
    </w:p>
    <w:p>
      <w:pPr>
        <w:pStyle w:val="BodyText"/>
      </w:pPr>
      <w:r>
        <w:t xml:space="preserve">Fragilariopsis_cylindrus</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0.032</w:t>
      </w:r>
    </w:p>
    <w:p>
      <w:pPr>
        <w:pStyle w:val="BodyText"/>
      </w:pPr>
      <w:r>
        <w:t xml:space="preserve">0.860</w:t>
      </w:r>
    </w:p>
    <w:p>
      <w:pPr>
        <w:pStyle w:val="BodyText"/>
      </w:pPr>
      <w:r>
        <w:t xml:space="preserve">Fragilariopsis_cylindrus</w:t>
      </w:r>
    </w:p>
    <w:p>
      <w:pPr>
        <w:pStyle w:val="BodyText"/>
      </w:pPr>
      <w:r>
        <w:t xml:space="preserve">s(LightLevel_ue)</w:t>
      </w:r>
    </w:p>
    <w:p>
      <w:pPr>
        <w:pStyle w:val="BodyText"/>
      </w:pPr>
      <w:r>
        <w:t xml:space="preserve">1.105</w:t>
      </w:r>
    </w:p>
    <w:p>
      <w:pPr>
        <w:pStyle w:val="BodyText"/>
      </w:pPr>
      <w:r>
        <w:t xml:space="preserve">1.196</w:t>
      </w:r>
    </w:p>
    <w:p>
      <w:pPr>
        <w:pStyle w:val="BodyText"/>
      </w:pPr>
      <w:r>
        <w:t xml:space="preserve">3.267</w:t>
      </w:r>
    </w:p>
    <w:p>
      <w:pPr>
        <w:pStyle w:val="BodyText"/>
      </w:pPr>
      <w:r>
        <w:t xml:space="preserve">0.069</w:t>
      </w:r>
    </w:p>
    <w:p>
      <w:pPr>
        <w:pStyle w:val="BodyText"/>
      </w:pPr>
      <w:r>
        <w:t xml:space="preserve">Fragilariopsis_cylindrus</w:t>
      </w:r>
    </w:p>
    <w:p>
      <w:pPr>
        <w:pStyle w:val="BodyText"/>
      </w:pPr>
      <w:r>
        <w:t xml:space="preserve">s(Temp_C)</w:t>
      </w:r>
    </w:p>
    <w:p>
      <w:pPr>
        <w:pStyle w:val="BodyText"/>
      </w:pPr>
      <w:r>
        <w:t xml:space="preserve">1.000</w:t>
      </w:r>
    </w:p>
    <w:p>
      <w:pPr>
        <w:pStyle w:val="BodyText"/>
      </w:pPr>
      <w:r>
        <w:t xml:space="preserve">1.000</w:t>
      </w:r>
    </w:p>
    <w:p>
      <w:pPr>
        <w:pStyle w:val="BodyText"/>
      </w:pPr>
      <w:r>
        <w:t xml:space="preserve">2.355</w:t>
      </w:r>
    </w:p>
    <w:p>
      <w:pPr>
        <w:pStyle w:val="BodyText"/>
      </w:pPr>
      <w:r>
        <w:t xml:space="preserve">0.146</w:t>
      </w:r>
    </w:p>
    <w:p>
      <w:pPr>
        <w:pStyle w:val="BodyText"/>
      </w:pPr>
      <w:r>
        <w:t xml:space="preserve">Fragilariopsis_cylindrus</w:t>
      </w:r>
    </w:p>
    <w:p>
      <w:pPr>
        <w:pStyle w:val="BodyText"/>
      </w:pPr>
      <w:r>
        <w:t xml:space="preserve">ti(Temp_C,LightLevel_ue)</w:t>
      </w:r>
    </w:p>
    <w:p>
      <w:pPr>
        <w:pStyle w:val="BodyText"/>
      </w:pPr>
      <w:r>
        <w:t xml:space="preserve">1.457</w:t>
      </w:r>
    </w:p>
    <w:p>
      <w:pPr>
        <w:pStyle w:val="BodyText"/>
      </w:pPr>
      <w:r>
        <w:t xml:space="preserve">1.702</w:t>
      </w:r>
    </w:p>
    <w:p>
      <w:pPr>
        <w:pStyle w:val="BodyText"/>
      </w:pPr>
      <w:r>
        <w:t xml:space="preserve">2.817</w:t>
      </w:r>
    </w:p>
    <w:p>
      <w:pPr>
        <w:pStyle w:val="BodyText"/>
      </w:pPr>
      <w:r>
        <w:t xml:space="preserve">0.178</w:t>
      </w:r>
    </w:p>
    <w:p>
      <w:pPr>
        <w:pStyle w:val="BodyText"/>
      </w:pPr>
      <w:r>
        <w:t xml:space="preserve">Chlorella_vulgaris</w:t>
      </w:r>
    </w:p>
    <w:p>
      <w:pPr>
        <w:pStyle w:val="BodyText"/>
      </w:pPr>
      <w:r>
        <w:t xml:space="preserve">s(LightLevel_ue)</w:t>
      </w:r>
    </w:p>
    <w:p>
      <w:pPr>
        <w:pStyle w:val="BodyText"/>
      </w:pPr>
      <w:r>
        <w:t xml:space="preserve">1.943</w:t>
      </w:r>
    </w:p>
    <w:p>
      <w:pPr>
        <w:pStyle w:val="BodyText"/>
      </w:pPr>
      <w:r>
        <w:t xml:space="preserve">1.997</w:t>
      </w:r>
    </w:p>
    <w:p>
      <w:pPr>
        <w:pStyle w:val="BodyText"/>
      </w:pPr>
      <w:r>
        <w:t xml:space="preserve">8.412</w:t>
      </w:r>
    </w:p>
    <w:p>
      <w:pPr>
        <w:pStyle w:val="BodyText"/>
      </w:pPr>
      <w:r>
        <w:t xml:space="preserve">0.002</w:t>
      </w:r>
    </w:p>
    <w:p>
      <w:pPr>
        <w:pStyle w:val="BodyText"/>
      </w:pPr>
      <w:r>
        <w:t xml:space="preserve">Chlorella_vulgaris</w:t>
      </w:r>
    </w:p>
    <w:p>
      <w:pPr>
        <w:pStyle w:val="BodyText"/>
      </w:pPr>
      <w:r>
        <w:t xml:space="preserve">s(Temp_C)</w:t>
      </w:r>
    </w:p>
    <w:p>
      <w:pPr>
        <w:pStyle w:val="BodyText"/>
      </w:pPr>
      <w:r>
        <w:t xml:space="preserve">1.893</w:t>
      </w:r>
    </w:p>
    <w:p>
      <w:pPr>
        <w:pStyle w:val="BodyText"/>
      </w:pPr>
      <w:r>
        <w:t xml:space="preserve">1.989</w:t>
      </w:r>
    </w:p>
    <w:p>
      <w:pPr>
        <w:pStyle w:val="BodyText"/>
      </w:pPr>
      <w:r>
        <w:t xml:space="preserve">4.706</w:t>
      </w:r>
    </w:p>
    <w:p>
      <w:pPr>
        <w:pStyle w:val="BodyText"/>
      </w:pPr>
      <w:r>
        <w:t xml:space="preserve">0.022</w:t>
      </w:r>
    </w:p>
    <w:p>
      <w:pPr>
        <w:pStyle w:val="BodyText"/>
      </w:pPr>
      <w:r>
        <w:t xml:space="preserve">Chlorella_vulgaris</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0.710</w:t>
      </w:r>
    </w:p>
    <w:p>
      <w:pPr>
        <w:pStyle w:val="BodyText"/>
      </w:pPr>
      <w:r>
        <w:t xml:space="preserve">0.410</w:t>
      </w:r>
    </w:p>
    <w:p>
      <w:pPr>
        <w:pStyle w:val="BodyText"/>
      </w:pPr>
      <w:r>
        <w:t xml:space="preserve">Thalassiosira_pseudonana</w:t>
      </w:r>
    </w:p>
    <w:p>
      <w:pPr>
        <w:pStyle w:val="BodyText"/>
      </w:pPr>
      <w:r>
        <w:t xml:space="preserve">s(LightLevel_ue)</w:t>
      </w:r>
    </w:p>
    <w:p>
      <w:pPr>
        <w:pStyle w:val="BodyText"/>
      </w:pPr>
      <w:r>
        <w:t xml:space="preserve">1.955</w:t>
      </w:r>
    </w:p>
    <w:p>
      <w:pPr>
        <w:pStyle w:val="BodyText"/>
      </w:pPr>
      <w:r>
        <w:t xml:space="preserve">1.993</w:t>
      </w:r>
    </w:p>
    <w:p>
      <w:pPr>
        <w:pStyle w:val="BodyText"/>
      </w:pPr>
      <w:r>
        <w:t xml:space="preserve">10.252</w:t>
      </w:r>
    </w:p>
    <w:p>
      <w:pPr>
        <w:pStyle w:val="BodyText"/>
      </w:pPr>
      <w:r>
        <w:t xml:space="preserve">0.000</w:t>
      </w:r>
    </w:p>
    <w:p>
      <w:pPr>
        <w:pStyle w:val="BodyText"/>
      </w:pPr>
      <w:r>
        <w:t xml:space="preserve">Thalassiosira_pseudonana</w:t>
      </w:r>
    </w:p>
    <w:p>
      <w:pPr>
        <w:pStyle w:val="BodyText"/>
      </w:pPr>
      <w:r>
        <w:t xml:space="preserve">s(Temp_C)</w:t>
      </w:r>
    </w:p>
    <w:p>
      <w:pPr>
        <w:pStyle w:val="BodyText"/>
      </w:pPr>
      <w:r>
        <w:t xml:space="preserve">1.000</w:t>
      </w:r>
    </w:p>
    <w:p>
      <w:pPr>
        <w:pStyle w:val="BodyText"/>
      </w:pPr>
      <w:r>
        <w:t xml:space="preserve">1.001</w:t>
      </w:r>
    </w:p>
    <w:p>
      <w:pPr>
        <w:pStyle w:val="BodyText"/>
      </w:pPr>
      <w:r>
        <w:t xml:space="preserve">2.834</w:t>
      </w:r>
    </w:p>
    <w:p>
      <w:pPr>
        <w:pStyle w:val="BodyText"/>
      </w:pPr>
      <w:r>
        <w:t xml:space="preserve">0.103</w:t>
      </w:r>
    </w:p>
    <w:p>
      <w:pPr>
        <w:pStyle w:val="BodyText"/>
      </w:pPr>
      <w:r>
        <w:t xml:space="preserve">Thalassiosira_pseudonana</w:t>
      </w:r>
    </w:p>
    <w:p>
      <w:pPr>
        <w:pStyle w:val="BodyText"/>
      </w:pPr>
      <w:r>
        <w:t xml:space="preserve">ti(Temp_C,LightLevel_ue)</w:t>
      </w:r>
    </w:p>
    <w:p>
      <w:pPr>
        <w:pStyle w:val="BodyText"/>
      </w:pPr>
      <w:r>
        <w:t xml:space="preserve">2.174</w:t>
      </w:r>
    </w:p>
    <w:p>
      <w:pPr>
        <w:pStyle w:val="BodyText"/>
      </w:pPr>
      <w:r>
        <w:t xml:space="preserve">2.631</w:t>
      </w:r>
    </w:p>
    <w:p>
      <w:pPr>
        <w:pStyle w:val="BodyText"/>
      </w:pPr>
      <w:r>
        <w:t xml:space="preserve">3.957</w:t>
      </w:r>
    </w:p>
    <w:p>
      <w:pPr>
        <w:pStyle w:val="BodyText"/>
      </w:pPr>
      <w:r>
        <w:t xml:space="preserve">0.038</w:t>
      </w:r>
    </w:p>
    <w:p>
      <w:pPr>
        <w:pStyle w:val="BodyText"/>
      </w:pPr>
      <w:r>
        <w:t xml:space="preserve">Chlamydomonas_euryale</w:t>
      </w:r>
    </w:p>
    <w:p>
      <w:pPr>
        <w:pStyle w:val="BodyText"/>
      </w:pPr>
      <w:r>
        <w:t xml:space="preserve">s(LightLevel_ue)</w:t>
      </w:r>
    </w:p>
    <w:p>
      <w:pPr>
        <w:pStyle w:val="BodyText"/>
      </w:pPr>
      <w:r>
        <w:t xml:space="preserve">1.000</w:t>
      </w:r>
    </w:p>
    <w:p>
      <w:pPr>
        <w:pStyle w:val="BodyText"/>
      </w:pPr>
      <w:r>
        <w:t xml:space="preserve">1.000</w:t>
      </w:r>
    </w:p>
    <w:p>
      <w:pPr>
        <w:pStyle w:val="BodyText"/>
      </w:pPr>
      <w:r>
        <w:t xml:space="preserve">188.809</w:t>
      </w:r>
    </w:p>
    <w:p>
      <w:pPr>
        <w:pStyle w:val="BodyText"/>
      </w:pPr>
      <w:r>
        <w:t xml:space="preserve">0.000</w:t>
      </w:r>
    </w:p>
    <w:p>
      <w:pPr>
        <w:pStyle w:val="BodyText"/>
      </w:pPr>
      <w:r>
        <w:t xml:space="preserve">Chlamydomonas_euryale</w:t>
      </w:r>
    </w:p>
    <w:p>
      <w:pPr>
        <w:pStyle w:val="BodyText"/>
      </w:pPr>
      <w:r>
        <w:t xml:space="preserve">s(Temp_C)</w:t>
      </w:r>
    </w:p>
    <w:p>
      <w:pPr>
        <w:pStyle w:val="BodyText"/>
      </w:pPr>
      <w:r>
        <w:t xml:space="preserve">1.963</w:t>
      </w:r>
    </w:p>
    <w:p>
      <w:pPr>
        <w:pStyle w:val="BodyText"/>
      </w:pPr>
      <w:r>
        <w:t xml:space="preserve">1.000</w:t>
      </w:r>
    </w:p>
    <w:p>
      <w:pPr>
        <w:pStyle w:val="BodyText"/>
      </w:pPr>
      <w:r>
        <w:t xml:space="preserve">537.239</w:t>
      </w:r>
    </w:p>
    <w:p>
      <w:pPr>
        <w:pStyle w:val="BodyText"/>
      </w:pPr>
      <w:r>
        <w:t xml:space="preserve">0.000</w:t>
      </w:r>
    </w:p>
    <w:p>
      <w:pPr>
        <w:pStyle w:val="BodyText"/>
      </w:pPr>
      <w:r>
        <w:t xml:space="preserve">Chlamydomonas_euryale</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42.557</w:t>
      </w:r>
    </w:p>
    <w:p>
      <w:pPr>
        <w:pStyle w:val="BodyText"/>
      </w:pPr>
      <w:r>
        <w:t xml:space="preserve">0.000</w:t>
      </w:r>
    </w:p>
    <w:p>
      <w:pPr>
        <w:pStyle w:val="BodyText"/>
      </w:pPr>
      <w:r>
        <w:t xml:space="preserve">Chlamydomonas_ICEMDV</w:t>
      </w:r>
    </w:p>
    <w:p>
      <w:pPr>
        <w:pStyle w:val="BodyText"/>
      </w:pPr>
      <w:r>
        <w:t xml:space="preserve">s(LightLevel_ue)</w:t>
      </w:r>
    </w:p>
    <w:p>
      <w:pPr>
        <w:pStyle w:val="BodyText"/>
      </w:pPr>
      <w:r>
        <w:t xml:space="preserve">1.736</w:t>
      </w:r>
    </w:p>
    <w:p>
      <w:pPr>
        <w:pStyle w:val="BodyText"/>
      </w:pPr>
      <w:r>
        <w:t xml:space="preserve">1.930</w:t>
      </w:r>
    </w:p>
    <w:p>
      <w:pPr>
        <w:pStyle w:val="BodyText"/>
      </w:pPr>
      <w:r>
        <w:t xml:space="preserve">3.331</w:t>
      </w:r>
    </w:p>
    <w:p>
      <w:pPr>
        <w:pStyle w:val="BodyText"/>
      </w:pPr>
      <w:r>
        <w:t xml:space="preserve">0.067</w:t>
      </w:r>
    </w:p>
    <w:p>
      <w:pPr>
        <w:pStyle w:val="BodyText"/>
      </w:pPr>
      <w:r>
        <w:t xml:space="preserve">Chlamydomonas_ICEMDV</w:t>
      </w:r>
    </w:p>
    <w:p>
      <w:pPr>
        <w:pStyle w:val="BodyText"/>
      </w:pPr>
      <w:r>
        <w:t xml:space="preserve">s(Temp_C)</w:t>
      </w:r>
    </w:p>
    <w:p>
      <w:pPr>
        <w:pStyle w:val="BodyText"/>
      </w:pPr>
      <w:r>
        <w:t xml:space="preserve">1.000</w:t>
      </w:r>
    </w:p>
    <w:p>
      <w:pPr>
        <w:pStyle w:val="BodyText"/>
      </w:pPr>
      <w:r>
        <w:t xml:space="preserve">1.000</w:t>
      </w:r>
    </w:p>
    <w:p>
      <w:pPr>
        <w:pStyle w:val="BodyText"/>
      </w:pPr>
      <w:r>
        <w:t xml:space="preserve">0.305</w:t>
      </w:r>
    </w:p>
    <w:p>
      <w:pPr>
        <w:pStyle w:val="BodyText"/>
      </w:pPr>
      <w:r>
        <w:t xml:space="preserve">0.593</w:t>
      </w:r>
    </w:p>
    <w:p>
      <w:pPr>
        <w:pStyle w:val="BodyText"/>
      </w:pPr>
      <w:r>
        <w:t xml:space="preserve">Chlamydomonas_ICEMDV</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0.029</w:t>
      </w:r>
    </w:p>
    <w:p>
      <w:pPr>
        <w:pStyle w:val="BodyText"/>
      </w:pPr>
      <w:r>
        <w:t xml:space="preserve">0.868</w:t>
      </w:r>
    </w:p>
    <w:p>
      <w:pPr>
        <w:pStyle w:val="BodyText"/>
      </w:pPr>
      <w:r>
        <w:t xml:space="preserve">Chlamydomonas_klinobasis</w:t>
      </w:r>
    </w:p>
    <w:p>
      <w:pPr>
        <w:pStyle w:val="BodyText"/>
      </w:pPr>
      <w:r>
        <w:t xml:space="preserve">s(LightLevel_ue)</w:t>
      </w:r>
    </w:p>
    <w:p>
      <w:pPr>
        <w:pStyle w:val="BodyText"/>
      </w:pPr>
      <w:r>
        <w:t xml:space="preserve">1.849</w:t>
      </w:r>
    </w:p>
    <w:p>
      <w:pPr>
        <w:pStyle w:val="BodyText"/>
      </w:pPr>
      <w:r>
        <w:t xml:space="preserve">1.977</w:t>
      </w:r>
    </w:p>
    <w:p>
      <w:pPr>
        <w:pStyle w:val="BodyText"/>
      </w:pPr>
      <w:r>
        <w:t xml:space="preserve">5.809</w:t>
      </w:r>
    </w:p>
    <w:p>
      <w:pPr>
        <w:pStyle w:val="BodyText"/>
      </w:pPr>
      <w:r>
        <w:t xml:space="preserve">0.013</w:t>
      </w:r>
    </w:p>
    <w:p>
      <w:pPr>
        <w:pStyle w:val="BodyText"/>
      </w:pPr>
      <w:r>
        <w:t xml:space="preserve">Chlamydomonas_klinobasis</w:t>
      </w:r>
    </w:p>
    <w:p>
      <w:pPr>
        <w:pStyle w:val="BodyText"/>
      </w:pPr>
      <w:r>
        <w:t xml:space="preserve">s(Temp_C)</w:t>
      </w:r>
    </w:p>
    <w:p>
      <w:pPr>
        <w:pStyle w:val="BodyText"/>
      </w:pPr>
      <w:r>
        <w:t xml:space="preserve">1.253</w:t>
      </w:r>
    </w:p>
    <w:p>
      <w:pPr>
        <w:pStyle w:val="BodyText"/>
      </w:pPr>
      <w:r>
        <w:t xml:space="preserve">1.442</w:t>
      </w:r>
    </w:p>
    <w:p>
      <w:pPr>
        <w:pStyle w:val="BodyText"/>
      </w:pPr>
      <w:r>
        <w:t xml:space="preserve">2.066</w:t>
      </w:r>
    </w:p>
    <w:p>
      <w:pPr>
        <w:pStyle w:val="BodyText"/>
      </w:pPr>
      <w:r>
        <w:t xml:space="preserve">0.148</w:t>
      </w:r>
    </w:p>
    <w:p>
      <w:pPr>
        <w:pStyle w:val="BodyText"/>
      </w:pPr>
      <w:r>
        <w:t xml:space="preserve">Chlamydomonas_klinobasis</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2.758</w:t>
      </w:r>
    </w:p>
    <w:p>
      <w:pPr>
        <w:pStyle w:val="BodyText"/>
      </w:pPr>
      <w:r>
        <w:t xml:space="preserve">0.119</w:t>
      </w:r>
    </w:p>
    <w:p>
      <w:pPr>
        <w:pStyle w:val="BodyText"/>
      </w:pPr>
      <w:r>
        <w:t xml:space="preserve">Chlamydomonas_malina</w:t>
      </w:r>
    </w:p>
    <w:p>
      <w:pPr>
        <w:pStyle w:val="BodyText"/>
      </w:pPr>
      <w:r>
        <w:t xml:space="preserve">s(LightLevel_ue)</w:t>
      </w:r>
    </w:p>
    <w:p>
      <w:pPr>
        <w:pStyle w:val="BodyText"/>
      </w:pPr>
      <w:r>
        <w:t xml:space="preserve">1.839</w:t>
      </w:r>
    </w:p>
    <w:p>
      <w:pPr>
        <w:pStyle w:val="BodyText"/>
      </w:pPr>
      <w:r>
        <w:t xml:space="preserve">1.974</w:t>
      </w:r>
    </w:p>
    <w:p>
      <w:pPr>
        <w:pStyle w:val="BodyText"/>
      </w:pPr>
      <w:r>
        <w:t xml:space="preserve">3.735</w:t>
      </w:r>
    </w:p>
    <w:p>
      <w:pPr>
        <w:pStyle w:val="BodyText"/>
      </w:pPr>
      <w:r>
        <w:t xml:space="preserve">0.057</w:t>
      </w:r>
    </w:p>
    <w:p>
      <w:pPr>
        <w:pStyle w:val="BodyText"/>
      </w:pPr>
      <w:r>
        <w:t xml:space="preserve">Chlamydomonas_malina</w:t>
      </w:r>
    </w:p>
    <w:p>
      <w:pPr>
        <w:pStyle w:val="BodyText"/>
      </w:pPr>
      <w:r>
        <w:t xml:space="preserve">s(Temp_C)</w:t>
      </w:r>
    </w:p>
    <w:p>
      <w:pPr>
        <w:pStyle w:val="BodyText"/>
      </w:pPr>
      <w:r>
        <w:t xml:space="preserve">1.000</w:t>
      </w:r>
    </w:p>
    <w:p>
      <w:pPr>
        <w:pStyle w:val="BodyText"/>
      </w:pPr>
      <w:r>
        <w:t xml:space="preserve">1.000</w:t>
      </w:r>
    </w:p>
    <w:p>
      <w:pPr>
        <w:pStyle w:val="BodyText"/>
      </w:pPr>
      <w:r>
        <w:t xml:space="preserve">0.537</w:t>
      </w:r>
    </w:p>
    <w:p>
      <w:pPr>
        <w:pStyle w:val="BodyText"/>
      </w:pPr>
      <w:r>
        <w:t xml:space="preserve">0.477</w:t>
      </w:r>
    </w:p>
    <w:p>
      <w:pPr>
        <w:pStyle w:val="BodyText"/>
      </w:pPr>
      <w:r>
        <w:t xml:space="preserve">Chlamydomonas_malina</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0.989</w:t>
      </w:r>
    </w:p>
    <w:p>
      <w:pPr>
        <w:pStyle w:val="BodyText"/>
      </w:pPr>
      <w:r>
        <w:t xml:space="preserve">0.338</w:t>
      </w:r>
    </w:p>
    <w:p>
      <w:pPr>
        <w:pStyle w:val="BodyText"/>
      </w:pPr>
      <w:r>
        <w:t xml:space="preserve">Chlamydomonas_priscui</w:t>
      </w:r>
    </w:p>
    <w:p>
      <w:pPr>
        <w:pStyle w:val="BodyText"/>
      </w:pPr>
      <w:r>
        <w:t xml:space="preserve">s(LightLevel_ue)</w:t>
      </w:r>
    </w:p>
    <w:p>
      <w:pPr>
        <w:pStyle w:val="BodyText"/>
      </w:pPr>
      <w:r>
        <w:t xml:space="preserve">1.904</w:t>
      </w:r>
    </w:p>
    <w:p>
      <w:pPr>
        <w:pStyle w:val="BodyText"/>
      </w:pPr>
      <w:r>
        <w:t xml:space="preserve">1.991</w:t>
      </w:r>
    </w:p>
    <w:p>
      <w:pPr>
        <w:pStyle w:val="BodyText"/>
      </w:pPr>
      <w:r>
        <w:t xml:space="preserve">11.072</w:t>
      </w:r>
    </w:p>
    <w:p>
      <w:pPr>
        <w:pStyle w:val="BodyText"/>
      </w:pPr>
      <w:r>
        <w:t xml:space="preserve">0.000</w:t>
      </w:r>
    </w:p>
    <w:p>
      <w:pPr>
        <w:pStyle w:val="BodyText"/>
      </w:pPr>
      <w:r>
        <w:t xml:space="preserve">Chlamydomonas_priscui</w:t>
      </w:r>
    </w:p>
    <w:p>
      <w:pPr>
        <w:pStyle w:val="BodyText"/>
      </w:pPr>
      <w:r>
        <w:t xml:space="preserve">s(Temp_C)</w:t>
      </w:r>
    </w:p>
    <w:p>
      <w:pPr>
        <w:pStyle w:val="BodyText"/>
      </w:pPr>
      <w:r>
        <w:t xml:space="preserve">1.767</w:t>
      </w:r>
    </w:p>
    <w:p>
      <w:pPr>
        <w:pStyle w:val="BodyText"/>
      </w:pPr>
      <w:r>
        <w:t xml:space="preserve">1.946</w:t>
      </w:r>
    </w:p>
    <w:p>
      <w:pPr>
        <w:pStyle w:val="BodyText"/>
      </w:pPr>
      <w:r>
        <w:t xml:space="preserve">7.211</w:t>
      </w:r>
    </w:p>
    <w:p>
      <w:pPr>
        <w:pStyle w:val="BodyText"/>
      </w:pPr>
      <w:r>
        <w:t xml:space="preserve">0.002</w:t>
      </w:r>
    </w:p>
    <w:p>
      <w:pPr>
        <w:pStyle w:val="BodyText"/>
      </w:pPr>
      <w:r>
        <w:t xml:space="preserve">Chlamydomonas_priscui</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7.782</w:t>
      </w:r>
    </w:p>
    <w:p>
      <w:pPr>
        <w:pStyle w:val="BodyText"/>
      </w:pPr>
      <w:r>
        <w:t xml:space="preserve">0.008</w:t>
      </w:r>
    </w:p>
    <w:p>
      <w:pPr>
        <w:pStyle w:val="BodyText"/>
      </w:pPr>
      <w:r>
        <w:t xml:space="preserve">Chlamydomonas_reinhardtii</w:t>
      </w:r>
    </w:p>
    <w:p>
      <w:pPr>
        <w:pStyle w:val="BodyText"/>
      </w:pPr>
      <w:r>
        <w:t xml:space="preserve">s(LightLevel_ue)</w:t>
      </w:r>
    </w:p>
    <w:p>
      <w:pPr>
        <w:pStyle w:val="BodyText"/>
      </w:pPr>
      <w:r>
        <w:t xml:space="preserve">1.866</w:t>
      </w:r>
    </w:p>
    <w:p>
      <w:pPr>
        <w:pStyle w:val="BodyText"/>
      </w:pPr>
      <w:r>
        <w:t xml:space="preserve">1.934</w:t>
      </w:r>
    </w:p>
    <w:p>
      <w:pPr>
        <w:pStyle w:val="BodyText"/>
      </w:pPr>
      <w:r>
        <w:t xml:space="preserve">2.549</w:t>
      </w:r>
    </w:p>
    <w:p>
      <w:pPr>
        <w:pStyle w:val="BodyText"/>
      </w:pPr>
      <w:r>
        <w:t xml:space="preserve">0.107</w:t>
      </w:r>
    </w:p>
    <w:p>
      <w:pPr>
        <w:pStyle w:val="BodyText"/>
      </w:pPr>
      <w:r>
        <w:t xml:space="preserve">Chlamydomonas_reinhardtii</w:t>
      </w:r>
    </w:p>
    <w:p>
      <w:pPr>
        <w:pStyle w:val="BodyText"/>
      </w:pPr>
      <w:r>
        <w:t xml:space="preserve">s(Temp_C)</w:t>
      </w:r>
    </w:p>
    <w:p>
      <w:pPr>
        <w:pStyle w:val="BodyText"/>
      </w:pPr>
      <w:r>
        <w:t xml:space="preserve">1.000</w:t>
      </w:r>
    </w:p>
    <w:p>
      <w:pPr>
        <w:pStyle w:val="BodyText"/>
      </w:pPr>
      <w:r>
        <w:t xml:space="preserve">1.000</w:t>
      </w:r>
    </w:p>
    <w:p>
      <w:pPr>
        <w:pStyle w:val="BodyText"/>
      </w:pPr>
      <w:r>
        <w:t xml:space="preserve">6.538</w:t>
      </w:r>
    </w:p>
    <w:p>
      <w:pPr>
        <w:pStyle w:val="BodyText"/>
      </w:pPr>
      <w:r>
        <w:t xml:space="preserve">0.015</w:t>
      </w:r>
    </w:p>
    <w:p>
      <w:pPr>
        <w:pStyle w:val="BodyText"/>
      </w:pPr>
      <w:r>
        <w:t xml:space="preserve">Chlamydomonas_reinhardtii</w:t>
      </w:r>
    </w:p>
    <w:p>
      <w:pPr>
        <w:pStyle w:val="BodyText"/>
      </w:pPr>
      <w:r>
        <w:t xml:space="preserve">ti(Temp_C,LightLevel_ue)</w:t>
      </w:r>
    </w:p>
    <w:p>
      <w:pPr>
        <w:pStyle w:val="BodyText"/>
      </w:pPr>
      <w:r>
        <w:t xml:space="preserve">2.194</w:t>
      </w:r>
    </w:p>
    <w:p>
      <w:pPr>
        <w:pStyle w:val="BodyText"/>
      </w:pPr>
      <w:r>
        <w:t xml:space="preserve">2.649</w:t>
      </w:r>
    </w:p>
    <w:p>
      <w:pPr>
        <w:pStyle w:val="BodyText"/>
      </w:pPr>
      <w:r>
        <w:t xml:space="preserve">1.076</w:t>
      </w:r>
    </w:p>
    <w:p>
      <w:pPr>
        <w:pStyle w:val="BodyText"/>
      </w:pPr>
      <w:r>
        <w:t xml:space="preserve">0.485</w:t>
      </w:r>
    </w:p>
    <w:p>
      <w:pPr>
        <w:pStyle w:val="CaptionedFigure"/>
      </w:pPr>
      <w:r>
        <w:drawing>
          <wp:inline>
            <wp:extent cx="5943600" cy="3962399"/>
            <wp:effectExtent b="0" l="0" r="0" t="0"/>
            <wp:docPr descr="Fig 5: GAM models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Black dashed vertical lines represent the growth temperatures. Measurement temperatures varied across taxa but the temperature scaling range is comparable across plots" title="" id="53" name="Picture"/>
            <a:graphic>
              <a:graphicData uri="http://schemas.openxmlformats.org/drawingml/2006/picture">
                <pic:pic>
                  <pic:nvPicPr>
                    <pic:cNvPr descr="Figures/DiatomsGAMOptSal.png" id="54" name="Picture"/>
                    <pic:cNvPicPr>
                      <a:picLocks noChangeArrowheads="1" noChangeAspect="1"/>
                    </pic:cNvPicPr>
                  </pic:nvPicPr>
                  <pic:blipFill>
                    <a:blip r:embed="rId52"/>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5" w:name="fig:diatomsgamtemp"/>
      <w:bookmarkEnd w:id="55"/>
      <w:r>
        <w:t xml:space="preserve">Fig 5: GAM models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Black dashed vertical lines represent the growth temperatures. Measurement temperatures varied across taxa but the temperature scaling range is comparable across plots</w:t>
      </w:r>
    </w:p>
    <w:p>
      <w:pPr>
        <w:pStyle w:val="BodyText"/>
      </w:pPr>
      <w:r>
        <w:t xml:space="preserve">(Fig</w:t>
      </w:r>
      <w:r>
        <w:t xml:space="preserve"> </w:t>
      </w:r>
      <w:r>
        <w:t xml:space="preserve">6</w:t>
      </w:r>
      <w:r>
        <w:t xml:space="preserve">).</w:t>
      </w:r>
    </w:p>
    <w:p>
      <w:pPr>
        <w:pStyle w:val="CaptionedFigure"/>
      </w:pPr>
      <w:r>
        <w:drawing>
          <wp:inline>
            <wp:extent cx="5943600" cy="3962399"/>
            <wp:effectExtent b="0" l="0" r="0" t="0"/>
            <wp:docPr descr="Fig 6: GAM models for polar and temperate green algae, of consecutive flashes before damping of S-State-induced chlorophyll fluorescence oscillations. GAM model predicted by the difference from growth temperature (Δ°C) during measurements and the effective light level (µmol photons m-2s-1, estimated from flash spacings in seconds). Black dashed vertical lines represent the growth temperatures. Measurement temperatures varied across taxa but the temperature scaling range is comparable across plots" title="" id="57" name="Picture"/>
            <a:graphic>
              <a:graphicData uri="http://schemas.openxmlformats.org/drawingml/2006/picture">
                <pic:pic>
                  <pic:nvPicPr>
                    <pic:cNvPr descr="Figures/AlgaeGAMOptSal.png" id="58" name="Picture"/>
                    <pic:cNvPicPr>
                      <a:picLocks noChangeArrowheads="1" noChangeAspect="1"/>
                    </pic:cNvPicPr>
                  </pic:nvPicPr>
                  <pic:blipFill>
                    <a:blip r:embed="rId56"/>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9" w:name="fig:greensgamtemp"/>
      <w:bookmarkEnd w:id="59"/>
      <w:r>
        <w:t xml:space="preserve">Fig 6: GAM models for polar and temperate green algae, of consecutive flashes before damping of S-State-induced chlorophyll fluorescence oscillations. GAM model predicted by the difference from growth temperature (Δ°C)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Black dashed vertical lines represent the growth temperatures. Measurement temperatures varied across taxa but the temperature scaling range is comparable across plots</w:t>
      </w:r>
    </w:p>
    <w:p>
      <w:pPr>
        <w:pStyle w:val="BodyText"/>
      </w:pPr>
      <w:r>
        <w:t xml:space="preserve">Within, and across, species of</w:t>
      </w:r>
      <w:r>
        <w:t xml:space="preserve"> </w:t>
      </w:r>
      <w:r>
        <w:rPr>
          <w:i/>
          <w:iCs/>
        </w:rPr>
        <w:t xml:space="preserve">Chlamydomonas</w:t>
      </w:r>
      <w:r>
        <w:t xml:space="preserve"> </w:t>
      </w:r>
      <w:r>
        <w:t xml:space="preserve">XXXXCITE Pomona PaperXXXX growth under higher salinities increases maintenance of F</w:t>
      </w:r>
      <w:r>
        <w:rPr>
          <w:vertAlign w:val="subscript"/>
        </w:rPr>
        <w:t xml:space="preserve">V</w:t>
      </w:r>
      <w:r>
        <w:t xml:space="preserve">/F</w:t>
      </w:r>
      <w:r>
        <w:rPr>
          <w:vertAlign w:val="subscript"/>
        </w:rPr>
        <w:t xml:space="preserve">M</w:t>
      </w:r>
      <w:r>
        <w:t xml:space="preserve"> </w:t>
      </w:r>
      <w:r>
        <w:t xml:space="preserve">and photosynthetic capacity during stress. We therefore grew each</w:t>
      </w:r>
      <w:r>
        <w:t xml:space="preserve"> </w:t>
      </w:r>
      <w:r>
        <w:rPr>
          <w:i/>
          <w:iCs/>
        </w:rPr>
        <w:t xml:space="preserve">Chlamydomonas</w:t>
      </w:r>
      <w:r>
        <w:t xml:space="preserve"> </w:t>
      </w:r>
      <w:r>
        <w:t xml:space="preserve">strain across three growth-permissive salinities</w:t>
      </w:r>
      <w:r>
        <w:t xml:space="preserve"> </w:t>
      </w:r>
      <w:r>
        <w:t xml:space="preserve">1</w:t>
      </w:r>
      <w:r>
        <w:t xml:space="preserve"> </w:t>
      </w:r>
      <w:r>
        <w:t xml:space="preserve">and performed saturating flash trains over a range of flash spacings, and at measurement temperatures flanking the growth temperature for each taxa. We ran an ANOVA for damping indices testing effects of taxa, effective equivalent light level (derived from the saturating flash spacing and 𝛔</w:t>
      </w:r>
      <w:r>
        <w:rPr>
          <w:vertAlign w:val="subscript"/>
        </w:rPr>
        <w:t xml:space="preserve">PSII</w:t>
      </w:r>
      <w:r>
        <w:t xml:space="preserve">), measurement temperature, and the growth concentration of NaCl, with interactions among all factors</w:t>
      </w:r>
      <w:r>
        <w:t xml:space="preserve"> </w:t>
      </w:r>
      <w:r>
        <w:t xml:space="preserve">??</w:t>
      </w:r>
      <w:r>
        <w:t xml:space="preserve">. As expected, taxa, effective equivalent light level and measurement temperature all showed strongly significant influences on damping indices. NaCl concentration also showed a significant influence on damping indices across strains, with a significant interaction with effective equivalent light level.</w:t>
      </w:r>
    </w:p>
    <w:p>
      <w:pPr>
        <w:pStyle w:val="SourceCode"/>
      </w:pPr>
      <w:r>
        <w:rPr>
          <w:rStyle w:val="VerbatimChar"/>
        </w:rPr>
        <w:t xml:space="preserve">##                                      Df Sum Sq Mean Sq F value   Pr(&gt;F)    </w:t>
      </w:r>
      <w:r>
        <w:br/>
      </w:r>
      <w:r>
        <w:rPr>
          <w:rStyle w:val="VerbatimChar"/>
        </w:rPr>
        <w:t xml:space="preserve">## Strain                                4 2128.0   532.0  78.485  &lt; 2e-16 ***</w:t>
      </w:r>
      <w:r>
        <w:br/>
      </w:r>
      <w:r>
        <w:rPr>
          <w:rStyle w:val="VerbatimChar"/>
        </w:rPr>
        <w:t xml:space="preserve">## LightLevel_ue                         1  576.5   576.5  85.051  &lt; 2e-16 ***</w:t>
      </w:r>
      <w:r>
        <w:br/>
      </w:r>
      <w:r>
        <w:rPr>
          <w:rStyle w:val="VerbatimChar"/>
        </w:rPr>
        <w:t xml:space="preserve">## Temp_C                                1  488.2   488.2  72.015 1.18e-15 ***</w:t>
      </w:r>
      <w:r>
        <w:br/>
      </w:r>
      <w:r>
        <w:rPr>
          <w:rStyle w:val="VerbatimChar"/>
        </w:rPr>
        <w:t xml:space="preserve">## NaCl_mM                               1   35.2    35.2   5.198   0.0233 *  </w:t>
      </w:r>
      <w:r>
        <w:br/>
      </w:r>
      <w:r>
        <w:rPr>
          <w:rStyle w:val="VerbatimChar"/>
        </w:rPr>
        <w:t xml:space="preserve">## Strain:LightLevel_ue                  4  368.9    92.2  13.606 3.65e-10 ***</w:t>
      </w:r>
      <w:r>
        <w:br/>
      </w:r>
      <w:r>
        <w:rPr>
          <w:rStyle w:val="VerbatimChar"/>
        </w:rPr>
        <w:t xml:space="preserve">## Strain:Temp_C                         4  203.3    50.8   7.498 9.36e-06 ***</w:t>
      </w:r>
      <w:r>
        <w:br/>
      </w:r>
      <w:r>
        <w:rPr>
          <w:rStyle w:val="VerbatimChar"/>
        </w:rPr>
        <w:t xml:space="preserve">## LightLevel_ue:Temp_C                  1    1.4     1.4   0.211   0.6463    </w:t>
      </w:r>
      <w:r>
        <w:br/>
      </w:r>
      <w:r>
        <w:rPr>
          <w:rStyle w:val="VerbatimChar"/>
        </w:rPr>
        <w:t xml:space="preserve">## Strain:NaCl_mM                        4   39.2     9.8   1.445   0.2193    </w:t>
      </w:r>
      <w:r>
        <w:br/>
      </w:r>
      <w:r>
        <w:rPr>
          <w:rStyle w:val="VerbatimChar"/>
        </w:rPr>
        <w:t xml:space="preserve">## LightLevel_ue:NaCl_mM                 1   26.9    26.9   3.967   0.0474 *  </w:t>
      </w:r>
      <w:r>
        <w:br/>
      </w:r>
      <w:r>
        <w:rPr>
          <w:rStyle w:val="VerbatimChar"/>
        </w:rPr>
        <w:t xml:space="preserve">## Temp_C:NaCl_mM                        1   10.9    10.9   1.604   0.2064    </w:t>
      </w:r>
      <w:r>
        <w:br/>
      </w:r>
      <w:r>
        <w:rPr>
          <w:rStyle w:val="VerbatimChar"/>
        </w:rPr>
        <w:t xml:space="preserve">## Strain:LightLevel_ue:Temp_C           4   74.0    18.5   2.729   0.0295 *  </w:t>
      </w:r>
      <w:r>
        <w:br/>
      </w:r>
      <w:r>
        <w:rPr>
          <w:rStyle w:val="VerbatimChar"/>
        </w:rPr>
        <w:t xml:space="preserve">## Strain:LightLevel_ue:NaCl_mM          4    8.2     2.0   0.302   0.8767    </w:t>
      </w:r>
      <w:r>
        <w:br/>
      </w:r>
      <w:r>
        <w:rPr>
          <w:rStyle w:val="VerbatimChar"/>
        </w:rPr>
        <w:t xml:space="preserve">## Strain:Temp_C:NaCl_mM                 4   46.7    11.7   1.721   0.1454    </w:t>
      </w:r>
      <w:r>
        <w:br/>
      </w:r>
      <w:r>
        <w:rPr>
          <w:rStyle w:val="VerbatimChar"/>
        </w:rPr>
        <w:t xml:space="preserve">## LightLevel_ue:Temp_C:NaCl_mM          1    5.4     5.4   0.797   0.3727    </w:t>
      </w:r>
      <w:r>
        <w:br/>
      </w:r>
      <w:r>
        <w:rPr>
          <w:rStyle w:val="VerbatimChar"/>
        </w:rPr>
        <w:t xml:space="preserve">## Strain:LightLevel_ue:Temp_C:NaCl_mM   4   37.8     9.5   1.396   0.2355    </w:t>
      </w:r>
      <w:r>
        <w:br/>
      </w:r>
      <w:r>
        <w:rPr>
          <w:rStyle w:val="VerbatimChar"/>
        </w:rPr>
        <w:t xml:space="preserve">## Residuals                           285 1931.9     6.8                     </w:t>
      </w:r>
      <w:r>
        <w:br/>
      </w:r>
      <w:r>
        <w:rPr>
          <w:rStyle w:val="VerbatimChar"/>
        </w:rPr>
        <w:t xml:space="preserve">## ---</w:t>
      </w:r>
      <w:r>
        <w:br/>
      </w:r>
      <w:r>
        <w:rPr>
          <w:rStyle w:val="VerbatimChar"/>
        </w:rPr>
        <w:t xml:space="preserve">## Signif. codes:  0 '***' 0.001 '**' 0.01 '*' 0.05 '.' 0.1 ' ' 1</w:t>
      </w:r>
    </w:p>
    <w:p>
      <w:pPr>
        <w:pStyle w:val="FirstParagraph"/>
      </w:pPr>
      <w:r>
        <w:t xml:space="preserve">We then ran the ANOVA for each taxa separately</w:t>
      </w:r>
      <w:r>
        <w:t xml:space="preserve"> </w:t>
      </w:r>
      <w:r>
        <w:t xml:space="preserve">??</w:t>
      </w:r>
      <w:r>
        <w:t xml:space="preserve">. Within a taxa only</w:t>
      </w:r>
      <w:r>
        <w:t xml:space="preserve"> </w:t>
      </w:r>
      <w:r>
        <w:rPr>
          <w:i/>
          <w:iCs/>
        </w:rPr>
        <w:t xml:space="preserve">Chlamydomonas priscui</w:t>
      </w:r>
      <w:r>
        <w:t xml:space="preserve"> </w:t>
      </w:r>
      <w:r>
        <w:t xml:space="preserve">showed a significant effect of NaCl on damping indices, suggesting the statistical influence of NaCl detected across taxa derives from different taxa growing at different salinites and showing different responses of damping indices, rather than a direct effect of NaCl on damping indices in most strains.</w:t>
      </w:r>
    </w:p>
    <w:p>
      <w:pPr>
        <w:pStyle w:val="SourceCode"/>
      </w:pPr>
      <w:r>
        <w:rPr>
          <w:rStyle w:val="VerbatimChar"/>
        </w:rPr>
        <w:t xml:space="preserve">## # A tibble: 8 × 7</w:t>
      </w:r>
      <w:r>
        <w:br/>
      </w:r>
      <w:r>
        <w:rPr>
          <w:rStyle w:val="VerbatimChar"/>
        </w:rPr>
        <w:t xml:space="preserve">##   Strain    Strains_aovinteract_…¹ Strains_aovinteract_…² Strains_aovinteract_…³</w:t>
      </w:r>
      <w:r>
        <w:br/>
      </w:r>
      <w:r>
        <w:rPr>
          <w:rStyle w:val="VerbatimChar"/>
        </w:rPr>
        <w:t xml:space="preserve">##   &lt;chr&gt;     &lt;chr&gt;                                   &lt;dbl&gt;                  &lt;dbl&gt;</w:t>
      </w:r>
      <w:r>
        <w:br/>
      </w:r>
      <w:r>
        <w:rPr>
          <w:rStyle w:val="VerbatimChar"/>
        </w:rPr>
        <w:t xml:space="preserve">## 1 Chlamydo… LightLevel_ue                               1                   30.5</w:t>
      </w:r>
      <w:r>
        <w:br/>
      </w:r>
      <w:r>
        <w:rPr>
          <w:rStyle w:val="VerbatimChar"/>
        </w:rPr>
        <w:t xml:space="preserve">## 2 Chlamydo… LightLevel_ue                               1                  550. </w:t>
      </w:r>
      <w:r>
        <w:br/>
      </w:r>
      <w:r>
        <w:rPr>
          <w:rStyle w:val="VerbatimChar"/>
        </w:rPr>
        <w:t xml:space="preserve">## 3 Chlamydo… Temp_C                                      1                  137. </w:t>
      </w:r>
      <w:r>
        <w:br/>
      </w:r>
      <w:r>
        <w:rPr>
          <w:rStyle w:val="VerbatimChar"/>
        </w:rPr>
        <w:t xml:space="preserve">## 4 Chlamydo… LightLevel_ue                               1                  140. </w:t>
      </w:r>
      <w:r>
        <w:br/>
      </w:r>
      <w:r>
        <w:rPr>
          <w:rStyle w:val="VerbatimChar"/>
        </w:rPr>
        <w:t xml:space="preserve">## 5 Chlamydo… LightLevel_ue                               1                  255. </w:t>
      </w:r>
      <w:r>
        <w:br/>
      </w:r>
      <w:r>
        <w:rPr>
          <w:rStyle w:val="VerbatimChar"/>
        </w:rPr>
        <w:t xml:space="preserve">## 6 Chlamydo… Temp_C                                      1                  476. </w:t>
      </w:r>
      <w:r>
        <w:br/>
      </w:r>
      <w:r>
        <w:rPr>
          <w:rStyle w:val="VerbatimChar"/>
        </w:rPr>
        <w:t xml:space="preserve">## 7 Chlamydo… NaCl_mM                                     1                   39.6</w:t>
      </w:r>
      <w:r>
        <w:br/>
      </w:r>
      <w:r>
        <w:rPr>
          <w:rStyle w:val="VerbatimChar"/>
        </w:rPr>
        <w:t xml:space="preserve">## 8 Chlamydo… Temp_C                                      1                   18.5</w:t>
      </w:r>
      <w:r>
        <w:br/>
      </w:r>
      <w:r>
        <w:rPr>
          <w:rStyle w:val="VerbatimChar"/>
        </w:rPr>
        <w:t xml:space="preserve">## # ℹ abbreviated names: ¹​Strains_aovinteract_Param_term,</w:t>
      </w:r>
      <w:r>
        <w:br/>
      </w:r>
      <w:r>
        <w:rPr>
          <w:rStyle w:val="VerbatimChar"/>
        </w:rPr>
        <w:t xml:space="preserve">## #   ²​Strains_aovinteract_Param_df, ³​Strains_aovinteract_Param_sumsq</w:t>
      </w:r>
      <w:r>
        <w:br/>
      </w:r>
      <w:r>
        <w:rPr>
          <w:rStyle w:val="VerbatimChar"/>
        </w:rPr>
        <w:t xml:space="preserve">## # ℹ 3 more variables: Strains_aovinteract_Param_meansq &lt;dbl&gt;,</w:t>
      </w:r>
      <w:r>
        <w:br/>
      </w:r>
      <w:r>
        <w:rPr>
          <w:rStyle w:val="VerbatimChar"/>
        </w:rPr>
        <w:t xml:space="preserve">## #   Strains_aovinteract_Param_statistic &lt;dbl&gt;,</w:t>
      </w:r>
      <w:r>
        <w:br/>
      </w:r>
      <w:r>
        <w:rPr>
          <w:rStyle w:val="VerbatimChar"/>
        </w:rPr>
        <w:t xml:space="preserve">## #   Strains_aovinteract_Param_p.value &lt;dbl&gt;</w:t>
      </w:r>
    </w:p>
    <w:bookmarkEnd w:id="60"/>
    <w:bookmarkEnd w:id="61"/>
    <w:bookmarkStart w:id="62"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light. Thus sustained synchronized S-State cycling of PSII decayed faster under higher temperatures and lower equivalent light (Figures</w:t>
      </w:r>
      <w:r>
        <w:t xml:space="preserve"> </w:t>
      </w:r>
      <w:r>
        <w:t xml:space="preserve">3</w:t>
      </w:r>
      <w:r>
        <w:t xml:space="preserve">,</w:t>
      </w:r>
      <w:r>
        <w:t xml:space="preserve"> </w:t>
      </w:r>
      <w:r>
        <w:t xml:space="preserve">??</w:t>
      </w:r>
      <w:r>
        <w:t xml:space="preserve">)</w:t>
      </w:r>
      <w:r>
        <w:t xml:space="preserve"> </w:t>
      </w:r>
      <w:r>
        <w:t xml:space="preserve">(de Wijn and van Gorkom, 2002)</w:t>
      </w:r>
      <w:r>
        <w:t xml:space="preserve">.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probabilities of charge recombinations decrease as temperature drops below the activation energies for recombination paths, 21 - 29 °C for recombination to S2 from Q</w:t>
      </w:r>
      <w:r>
        <w:rPr>
          <w:vertAlign w:val="subscript"/>
        </w:rPr>
        <w:t xml:space="preserve">A</w:t>
      </w:r>
      <w:r>
        <w:rPr>
          <w:vertAlign w:val="superscript"/>
        </w:rPr>
        <w:t xml:space="preserve">-</w:t>
      </w:r>
      <w:r>
        <w:t xml:space="preserve">, or 35 - 41 for recombination to S2 from Q</w:t>
      </w:r>
      <w:r>
        <w:rPr>
          <w:vertAlign w:val="subscript"/>
        </w:rPr>
        <w:t xml:space="preserve">B</w:t>
      </w:r>
      <w:r>
        <w:rPr>
          <w:vertAlign w:val="superscript"/>
        </w:rPr>
        <w:t xml:space="preserve">-</w:t>
      </w:r>
      <w:r>
        <w:t xml:space="preserve"> </w:t>
      </w:r>
      <w:r>
        <w:t xml:space="preserve">[</w:t>
      </w:r>
      <w:r>
        <w:t xml:space="preserve">Ivanov et al. (2006)</w:t>
      </w:r>
      <w:r>
        <w:t xml:space="preserve">; ]. This temperature dependence may interact with acclimatory mechanisms to regulate photosynthetic electron flow, S-State transitions, and energy partitioning</w:t>
      </w:r>
      <w:r>
        <w:t xml:space="preserve"> </w:t>
      </w:r>
      <w:r>
        <w:t xml:space="preserve">(Hüner et al., 2023)</w:t>
      </w:r>
      <w:r>
        <w:t xml:space="preserve">.</w:t>
      </w:r>
    </w:p>
    <w:p>
      <w:pPr>
        <w:pStyle w:val="BodyText"/>
      </w:pPr>
      <w:r>
        <w:t xml:space="preserve">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w:t>
      </w:r>
      <w:r>
        <w:t xml:space="preserve"> </w:t>
      </w:r>
      <w:r>
        <w:t xml:space="preserve">(Ivanov et al., 2006; 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rPr>
          <w:i/>
          <w:iCs/>
        </w:rPr>
        <w:t xml:space="preserve">Chlamydomonas</w:t>
      </w:r>
      <w:r>
        <w:t xml:space="preserve"> </w:t>
      </w:r>
      <w:r>
        <w:t xml:space="preserve">sp. 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originate from Lake Bonney in Antarctica, but previous work found differential responses to light among the strains. Unlike the obligately shade-adapted</w:t>
      </w:r>
      <w:r>
        <w:t xml:space="preserve"> </w:t>
      </w:r>
      <w:r>
        <w:rPr>
          <w:i/>
          <w:iCs/>
        </w:rPr>
        <w:t xml:space="preserve">Chlamydomonas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 (</w:t>
      </w:r>
      <w:r>
        <w:t xml:space="preserve">Li and Morgan-Kiss (2019)</w:t>
      </w:r>
      <w:r>
        <w:t xml:space="preserve">) including shallow and seasonally open waters (</w:t>
      </w:r>
      <w:r>
        <w:t xml:space="preserve">Sherwell et al. (2022)</w:t>
      </w:r>
      <w:r>
        <w:t xml:space="preserve">) where it encounters a wider range of light conditions. Thus, in contrast with</w:t>
      </w:r>
      <w:r>
        <w:t xml:space="preserve"> </w:t>
      </w:r>
      <w:r>
        <w:rPr>
          <w:i/>
          <w:iCs/>
        </w:rPr>
        <w:t xml:space="preserve">Chlamydomonas priscui</w:t>
      </w:r>
      <w:r>
        <w:t xml:space="preserve"> </w:t>
      </w:r>
      <w:r>
        <w:t xml:space="preserve">that has a</w:t>
      </w:r>
      <w:r>
        <w:t xml:space="preserve"> </w:t>
      </w:r>
      <w:r>
        <w:t xml:space="preserve">“locked”</w:t>
      </w:r>
      <w:r>
        <w:t xml:space="preserve"> </w:t>
      </w:r>
      <w:r>
        <w:t xml:space="preserve">physiology,</w:t>
      </w:r>
      <w:r>
        <w:t xml:space="preserve"> </w:t>
      </w:r>
      <w:r>
        <w:rPr>
          <w:i/>
          <w:iCs/>
        </w:rPr>
        <w:t xml:space="preserve">Chlamydomonas</w:t>
      </w:r>
      <w:r>
        <w:t xml:space="preserve"> </w:t>
      </w:r>
      <w:r>
        <w:t xml:space="preserve">sp. ICE-MDV has retained the ability to balance excitation pressure through state transitions (</w:t>
      </w:r>
      <w:r>
        <w:t xml:space="preserve">Kalra et al. (2023)</w:t>
      </w:r>
      <w:r>
        <w:t xml:space="preserve">), can modify its photosynthetic apparatus due to nutrient availability (</w:t>
      </w:r>
      <w:r>
        <w:t xml:space="preserve">Cook et al. (2019)</w:t>
      </w:r>
      <w:r>
        <w:t xml:space="preserve">), exhibits phototactic motility in response to light signals (</w:t>
      </w:r>
      <w:r>
        <w:t xml:space="preserve">Poirier et al.</w:t>
      </w:r>
      <w:r>
        <w:t xml:space="preserve">) and can successfully acclimate to a range of wavelengths and light intensities (</w:t>
      </w:r>
      <w:r>
        <w:t xml:space="preserve">Poirier et al. (2025)</w:t>
      </w:r>
      <w:r>
        <w:t xml:space="preserve">). It is evident that physiological differences exist among polar species, likely as a result of life in comparably cold, but otherwise differing environments.</w:t>
      </w:r>
    </w:p>
    <w:p>
      <w:pPr>
        <w:pStyle w:val="BodyText"/>
      </w:pPr>
      <w:r>
        <w:t xml:space="preserve">Nevertheless, strong, sustained periodicity of ChlF emissions is a common trait across the diverse polar strains of diatoms and green algae (Figures</w:t>
      </w:r>
      <w:r>
        <w:t xml:space="preserve"> </w:t>
      </w:r>
      <w:r>
        <w:t xml:space="preserve">3</w:t>
      </w:r>
      <w:r>
        <w:t xml:space="preserve">;</w:t>
      </w:r>
      <w:r>
        <w:t xml:space="preserve"> </w:t>
      </w:r>
      <w:r>
        <w:t xml:space="preserve">4</w:t>
      </w:r>
      <w:r>
        <w:t xml:space="preserve">;</w:t>
      </w:r>
      <w:r>
        <w:t xml:space="preserve"> </w:t>
      </w:r>
      <w:r>
        <w:t xml:space="preserve">5</w:t>
      </w:r>
      <w:r>
        <w:t xml:space="preserve">;</w:t>
      </w:r>
      <w:r>
        <w:t xml:space="preserve"> </w:t>
      </w:r>
      <w:r>
        <w:t xml:space="preserve">6</w:t>
      </w:r>
      <w:r>
        <w:t xml:space="preserve">. Further, the polar exhibited significant 4-step ChlF oscillations under a broader range of measurement conditions around their growth temperatures than did their temperate counterparts. These findings illustrate that polar phytoplankton species, at and around their lower growth temperatures, show higher capacity to maintain synchronized S-State cycling than do temperate strains around their higher growth temperatures. 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reflects suppression of energetically wasteful photochemical misses in the polar strains, measured at the lower growth temperatures possible for poalr strains. Stable S-State cycling and minimizing energy losses through charge recombination support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as an emergent property for the productivity of polar phytoplankton under the ice during the polar night.</w:t>
      </w:r>
    </w:p>
    <w:p>
      <w:pPr>
        <w:pStyle w:val="BodyText"/>
      </w:pPr>
      <w:r>
        <w:t xml:space="preserve">Salinities vary widely across the habitats of the tested strains, and fluctuate within some habitats during ice formation and melting XXXMACKENZIE CITATIONSXXXX. Higher salinity stabilizes PSII function under stress across strains of</w:t>
      </w:r>
      <w:r>
        <w:t xml:space="preserve"> </w:t>
      </w:r>
      <w:r>
        <w:rPr>
          <w:i/>
          <w:iCs/>
        </w:rPr>
        <w:t xml:space="preserve">Chlamydomonas</w:t>
      </w:r>
      <w:r>
        <w:t xml:space="preserve"> </w:t>
      </w:r>
      <w:r>
        <w:t xml:space="preserve">XXXXPOMONA CITATIONXXX.</w:t>
      </w:r>
      <w:r>
        <w:t xml:space="preserve"> </w:t>
      </w:r>
      <w:r>
        <w:t xml:space="preserve">NaCl concentration showed an influence on dampening indices when analyzed across all tested</w:t>
      </w:r>
      <w:r>
        <w:t xml:space="preserve"> </w:t>
      </w:r>
      <w:r>
        <w:rPr>
          <w:i/>
          <w:iCs/>
        </w:rPr>
        <w:t xml:space="preserve">Chlamydomonas</w:t>
      </w:r>
      <w:r>
        <w:t xml:space="preserve"> </w:t>
      </w:r>
      <w:r>
        <w:t xml:space="preserve">taxa, but when tested within taxa, NaCl only showed an influence within</w:t>
      </w:r>
      <w:r>
        <w:t xml:space="preserve"> </w:t>
      </w:r>
      <w:r>
        <w:rPr>
          <w:i/>
          <w:iCs/>
        </w:rPr>
        <w:t xml:space="preserve">Chlamydomonas priscui</w:t>
      </w:r>
      <w:r>
        <w:t xml:space="preserve">. It is important to note that faster desynchronization of S-State cycling does not indicate a loss nor instability of PSII function</w:t>
      </w:r>
      <w:r>
        <w:t xml:space="preserve"> </w:t>
      </w:r>
      <w:r>
        <w:rPr>
          <w:i/>
          <w:iCs/>
        </w:rPr>
        <w:t xml:space="preserve">per se</w:t>
      </w:r>
      <w:r>
        <w:t xml:space="preserve">. Instad, desynchronization reflects randomization of the S-States of the PSII population. Prolonged synchronization under low effective light levels is thus an indicator of the capacity of PSII to exploit widely spaced photons under low light, not the stability of PSII function.</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2"/>
    <w:bookmarkStart w:id="63" w:name="acknowledgements"/>
    <w:p>
      <w:pPr>
        <w:pStyle w:val="Heading1"/>
      </w:pPr>
      <w:r>
        <w:t xml:space="preserve">Acknowledgements</w:t>
      </w:r>
    </w:p>
    <w:bookmarkEnd w:id="63"/>
    <w:bookmarkStart w:id="104" w:name="supporting-information"/>
    <w:p>
      <w:pPr>
        <w:pStyle w:val="Heading1"/>
      </w:pPr>
      <w:r>
        <w:t xml:space="preserve">Supporting information</w:t>
      </w:r>
    </w:p>
    <w:p>
      <w:pPr>
        <w:pStyle w:val="SourceCode"/>
      </w:pPr>
      <w:r>
        <w:rPr>
          <w:rStyle w:val="VerbatimChar"/>
        </w:rPr>
        <w:t xml:space="preserve">## </w:t>
      </w:r>
      <w:r>
        <w:br/>
      </w:r>
      <w:r>
        <w:rPr>
          <w:rStyle w:val="VerbatimChar"/>
        </w:rPr>
        <w:t xml:space="preserve">## </w:t>
      </w:r>
      <w:r>
        <w:br/>
      </w:r>
      <w:r>
        <w:rPr>
          <w:rStyle w:val="VerbatimChar"/>
        </w:rPr>
        <w:t xml:space="preserve">## ### GAM diagnostics: 1</w:t>
      </w:r>
    </w:p>
    <w:p>
      <w:pPr>
        <w:pStyle w:val="CaptionedFigure"/>
      </w:pPr>
      <w:r>
        <w:drawing>
          <wp:inline>
            <wp:extent cx="5943600" cy="4754880"/>
            <wp:effectExtent b="0" l="0" r="0" t="0"/>
            <wp:docPr descr="Fig 7: GAM model diagnostic summary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and 𝛔PSII)." title="" id="65" name="Picture"/>
            <a:graphic>
              <a:graphicData uri="http://schemas.openxmlformats.org/drawingml/2006/picture">
                <pic:pic>
                  <pic:nvPicPr>
                    <pic:cNvPr descr="Figures/gammodeldiagnostic-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67" w:name="fig:gammodeldiagnostic-1"/>
      <w:bookmarkEnd w:id="67"/>
      <w:r>
        <w:t xml:space="preserve">Fig 7: GAM model diagnostic summary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[-1.148855e-05,2.458705e-06]</w:t>
      </w:r>
      <w:r>
        <w:br/>
      </w:r>
      <w:r>
        <w:rPr>
          <w:rStyle w:val="VerbatimChar"/>
        </w:rPr>
        <w:t xml:space="preserve">## (score 56.65425 &amp; scale 12.43105).</w:t>
      </w:r>
      <w:r>
        <w:br/>
      </w:r>
      <w:r>
        <w:rPr>
          <w:rStyle w:val="VerbatimChar"/>
        </w:rPr>
        <w:t xml:space="preserve">## Hessian positive definite, eigenvalue range [4.616448e-06,8.015894].</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1.83    0.26  &lt;2e-16 ***</w:t>
      </w:r>
      <w:r>
        <w:br/>
      </w:r>
      <w:r>
        <w:rPr>
          <w:rStyle w:val="VerbatimChar"/>
        </w:rPr>
        <w:t xml:space="preserve">## s(Temp_C)                2.00 1.00    0.81   0.195    </w:t>
      </w:r>
      <w:r>
        <w:br/>
      </w:r>
      <w:r>
        <w:rPr>
          <w:rStyle w:val="VerbatimChar"/>
        </w:rPr>
        <w:t xml:space="preserve">## ti(Temp_C,LightLevel_ue) 4.00 1.00    0.55   0.005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2</w:t>
      </w:r>
    </w:p>
    <w:p>
      <w:pPr>
        <w:pStyle w:val="CaptionedFigure"/>
      </w:pPr>
      <w:r>
        <w:drawing>
          <wp:inline>
            <wp:extent cx="5943600" cy="4754880"/>
            <wp:effectExtent b="0" l="0" r="0" t="0"/>
            <wp:docPr descr="Fig 8: GAM model diagnostic summary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and 𝛔PSII)." title="" id="69" name="Picture"/>
            <a:graphic>
              <a:graphicData uri="http://schemas.openxmlformats.org/drawingml/2006/picture">
                <pic:pic>
                  <pic:nvPicPr>
                    <pic:cNvPr descr="Figures/gammodeldiagnostic-2.png" id="70" name="Picture"/>
                    <pic:cNvPicPr>
                      <a:picLocks noChangeArrowheads="1" noChangeAspect="1"/>
                    </pic:cNvPicPr>
                  </pic:nvPicPr>
                  <pic:blipFill>
                    <a:blip r:embed="rId6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1" w:name="fig:gammodeldiagnostic-2"/>
      <w:bookmarkEnd w:id="71"/>
      <w:r>
        <w:t xml:space="preserve">Fig 8: GAM model diagnostic summary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[-1.045605e-05,1.128619e-05]</w:t>
      </w:r>
      <w:r>
        <w:br/>
      </w:r>
      <w:r>
        <w:rPr>
          <w:rStyle w:val="VerbatimChar"/>
        </w:rPr>
        <w:t xml:space="preserve">## (score 47.79832 &amp; scale 3.965611).</w:t>
      </w:r>
      <w:r>
        <w:br/>
      </w:r>
      <w:r>
        <w:rPr>
          <w:rStyle w:val="VerbatimChar"/>
        </w:rPr>
        <w:t xml:space="preserve">## Hessian positive definite, eigenvalue range [6.856764e-06,8.007953].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1.10    0.76   0.100 .</w:t>
      </w:r>
      <w:r>
        <w:br/>
      </w:r>
      <w:r>
        <w:rPr>
          <w:rStyle w:val="VerbatimChar"/>
        </w:rPr>
        <w:t xml:space="preserve">## s(Temp_C)                2.00 1.00    0.93   0.185  </w:t>
      </w:r>
      <w:r>
        <w:br/>
      </w:r>
      <w:r>
        <w:rPr>
          <w:rStyle w:val="VerbatimChar"/>
        </w:rPr>
        <w:t xml:space="preserve">## ti(Temp_C,LightLevel_ue) 4.00 1.46    0.89   0.075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3</w:t>
      </w:r>
    </w:p>
    <w:p>
      <w:pPr>
        <w:pStyle w:val="CaptionedFigure"/>
      </w:pPr>
      <w:r>
        <w:drawing>
          <wp:inline>
            <wp:extent cx="5943600" cy="4754880"/>
            <wp:effectExtent b="0" l="0" r="0" t="0"/>
            <wp:docPr descr="Fig 9: GAM model diagnostic summary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and 𝛔PSII)." title="" id="73" name="Picture"/>
            <a:graphic>
              <a:graphicData uri="http://schemas.openxmlformats.org/drawingml/2006/picture">
                <pic:pic>
                  <pic:nvPicPr>
                    <pic:cNvPr descr="Figures/gammodeldiagnostic-3.png" id="74" name="Picture"/>
                    <pic:cNvPicPr>
                      <a:picLocks noChangeArrowheads="1" noChangeAspect="1"/>
                    </pic:cNvPicPr>
                  </pic:nvPicPr>
                  <pic:blipFill>
                    <a:blip r:embed="rId7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5" w:name="fig:gammodeldiagnostic-3"/>
      <w:bookmarkEnd w:id="75"/>
      <w:r>
        <w:t xml:space="preserve">Fig 9: GAM model diagnostic summary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[-1.964407e-05,6.40554e-06]</w:t>
      </w:r>
      <w:r>
        <w:br/>
      </w:r>
      <w:r>
        <w:rPr>
          <w:rStyle w:val="VerbatimChar"/>
        </w:rPr>
        <w:t xml:space="preserve">## (score 55.32928 &amp; scale 3.571869).</w:t>
      </w:r>
      <w:r>
        <w:br/>
      </w:r>
      <w:r>
        <w:rPr>
          <w:rStyle w:val="VerbatimChar"/>
        </w:rPr>
        <w:t xml:space="preserve">## Hessian positive definite, eigenvalue range [1.200439e-05,10.5307].</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1.94    1.23    0.86</w:t>
      </w:r>
      <w:r>
        <w:br/>
      </w:r>
      <w:r>
        <w:rPr>
          <w:rStyle w:val="VerbatimChar"/>
        </w:rPr>
        <w:t xml:space="preserve">## s(Temp_C)                2.00 1.89    1.37    0.98</w:t>
      </w:r>
      <w:r>
        <w:br/>
      </w:r>
      <w:r>
        <w:rPr>
          <w:rStyle w:val="VerbatimChar"/>
        </w:rPr>
        <w:t xml:space="preserve">## ti(Temp_C,LightLevel_ue) 4.00 1.00    0.97    0.36</w:t>
      </w:r>
      <w:r>
        <w:br/>
      </w:r>
      <w:r>
        <w:rPr>
          <w:rStyle w:val="VerbatimChar"/>
        </w:rPr>
        <w:t xml:space="preserve">## </w:t>
      </w:r>
      <w:r>
        <w:br/>
      </w:r>
      <w:r>
        <w:rPr>
          <w:rStyle w:val="VerbatimChar"/>
        </w:rPr>
        <w:t xml:space="preserve">## </w:t>
      </w:r>
      <w:r>
        <w:br/>
      </w:r>
      <w:r>
        <w:rPr>
          <w:rStyle w:val="VerbatimChar"/>
        </w:rPr>
        <w:t xml:space="preserve">## ### GAM diagnostics: 4</w:t>
      </w:r>
    </w:p>
    <w:p>
      <w:pPr>
        <w:pStyle w:val="CaptionedFigure"/>
      </w:pPr>
      <w:r>
        <w:drawing>
          <wp:inline>
            <wp:extent cx="5943600" cy="4754880"/>
            <wp:effectExtent b="0" l="0" r="0" t="0"/>
            <wp:docPr descr="Fig 10: GAM model diagnostic summary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and 𝛔PSII)." title="" id="77" name="Picture"/>
            <a:graphic>
              <a:graphicData uri="http://schemas.openxmlformats.org/drawingml/2006/picture">
                <pic:pic>
                  <pic:nvPicPr>
                    <pic:cNvPr descr="Figures/gammodeldiagnostic-4.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9" w:name="fig:gammodeldiagnostic-4"/>
      <w:bookmarkEnd w:id="79"/>
      <w:r>
        <w:t xml:space="preserve">Fig 10: GAM model diagnostic summary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11 iterations.</w:t>
      </w:r>
      <w:r>
        <w:br/>
      </w:r>
      <w:r>
        <w:rPr>
          <w:rStyle w:val="VerbatimChar"/>
        </w:rPr>
        <w:t xml:space="preserve">## Gradient range [-6.831923e-05,0.0001971058]</w:t>
      </w:r>
      <w:r>
        <w:br/>
      </w:r>
      <w:r>
        <w:rPr>
          <w:rStyle w:val="VerbatimChar"/>
        </w:rPr>
        <w:t xml:space="preserve">## (score 71.16439 &amp; scale 2.490609).</w:t>
      </w:r>
      <w:r>
        <w:br/>
      </w:r>
      <w:r>
        <w:rPr>
          <w:rStyle w:val="VerbatimChar"/>
        </w:rPr>
        <w:t xml:space="preserve">## Hessian positive definite, eigenvalue range [5.281984e-06,15.52403].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1.96    1.60    1.00</w:t>
      </w:r>
      <w:r>
        <w:br/>
      </w:r>
      <w:r>
        <w:rPr>
          <w:rStyle w:val="VerbatimChar"/>
        </w:rPr>
        <w:t xml:space="preserve">## s(Temp_C)                2.00 1.00    1.02    0.50</w:t>
      </w:r>
      <w:r>
        <w:br/>
      </w:r>
      <w:r>
        <w:rPr>
          <w:rStyle w:val="VerbatimChar"/>
        </w:rPr>
        <w:t xml:space="preserve">## ti(Temp_C,LightLevel_ue) 4.00 2.17    1.48    0.99</w:t>
      </w:r>
      <w:r>
        <w:br/>
      </w:r>
      <w:r>
        <w:rPr>
          <w:rStyle w:val="VerbatimChar"/>
        </w:rPr>
        <w:t xml:space="preserve">## </w:t>
      </w:r>
      <w:r>
        <w:br/>
      </w:r>
      <w:r>
        <w:rPr>
          <w:rStyle w:val="VerbatimChar"/>
        </w:rPr>
        <w:t xml:space="preserve">## </w:t>
      </w:r>
      <w:r>
        <w:br/>
      </w:r>
      <w:r>
        <w:rPr>
          <w:rStyle w:val="VerbatimChar"/>
        </w:rPr>
        <w:t xml:space="preserve">## ### GAM diagnostics: 5</w:t>
      </w:r>
    </w:p>
    <w:p>
      <w:pPr>
        <w:pStyle w:val="CaptionedFigure"/>
      </w:pPr>
      <w:r>
        <w:drawing>
          <wp:inline>
            <wp:extent cx="5943600" cy="4754880"/>
            <wp:effectExtent b="0" l="0" r="0" t="0"/>
            <wp:docPr descr="Fig 11: GAM model diagnostic summary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and 𝛔PSII)." title="" id="81" name="Picture"/>
            <a:graphic>
              <a:graphicData uri="http://schemas.openxmlformats.org/drawingml/2006/picture">
                <pic:pic>
                  <pic:nvPicPr>
                    <pic:cNvPr descr="Figures/gammodeldiagnostic-5.png" id="82" name="Picture"/>
                    <pic:cNvPicPr>
                      <a:picLocks noChangeArrowheads="1" noChangeAspect="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3" w:name="fig:gammodeldiagnostic-5"/>
      <w:bookmarkEnd w:id="83"/>
      <w:r>
        <w:t xml:space="preserve">Fig 11: GAM model diagnostic summary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step failed after 1 iteration.</w:t>
      </w:r>
      <w:r>
        <w:br/>
      </w:r>
      <w:r>
        <w:rPr>
          <w:rStyle w:val="VerbatimChar"/>
        </w:rPr>
        <w:t xml:space="preserve">## Gradient range [-1.61541e-06,9.174523]</w:t>
      </w:r>
      <w:r>
        <w:br/>
      </w:r>
      <w:r>
        <w:rPr>
          <w:rStyle w:val="VerbatimChar"/>
        </w:rPr>
        <w:t xml:space="preserve">## (score -420.8737 &amp; scale 2.151999e-22).</w:t>
      </w:r>
      <w:r>
        <w:br/>
      </w:r>
      <w:r>
        <w:rPr>
          <w:rStyle w:val="VerbatimChar"/>
        </w:rPr>
        <w:t xml:space="preserve">## eigenvalue range [-9224757,7.998127].</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1.00    0.29   0.005 **</w:t>
      </w:r>
      <w:r>
        <w:br/>
      </w:r>
      <w:r>
        <w:rPr>
          <w:rStyle w:val="VerbatimChar"/>
        </w:rPr>
        <w:t xml:space="preserve">## s(Temp_C)                2.00 1.96    0.75   0.115   </w:t>
      </w:r>
      <w:r>
        <w:br/>
      </w:r>
      <w:r>
        <w:rPr>
          <w:rStyle w:val="VerbatimChar"/>
        </w:rPr>
        <w:t xml:space="preserve">## ti(Temp_C,LightLevel_ue) 4.00 1.00    0.67   0.090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6</w:t>
      </w:r>
    </w:p>
    <w:p>
      <w:pPr>
        <w:pStyle w:val="CaptionedFigure"/>
      </w:pPr>
      <w:r>
        <w:drawing>
          <wp:inline>
            <wp:extent cx="5943600" cy="4754880"/>
            <wp:effectExtent b="0" l="0" r="0" t="0"/>
            <wp:docPr descr="Fig 12: GAM model diagnostic summary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and 𝛔PSII)." title="" id="85" name="Picture"/>
            <a:graphic>
              <a:graphicData uri="http://schemas.openxmlformats.org/drawingml/2006/picture">
                <pic:pic>
                  <pic:nvPicPr>
                    <pic:cNvPr descr="Figures/gammodeldiagnostic-6.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7" w:name="fig:gammodeldiagnostic-6"/>
      <w:bookmarkEnd w:id="87"/>
      <w:r>
        <w:t xml:space="preserve">Fig 12: GAM model diagnostic summary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13 iterations.</w:t>
      </w:r>
      <w:r>
        <w:br/>
      </w:r>
      <w:r>
        <w:rPr>
          <w:rStyle w:val="VerbatimChar"/>
        </w:rPr>
        <w:t xml:space="preserve">## Gradient range [-4.513978e-06,3.114671e-06]</w:t>
      </w:r>
      <w:r>
        <w:br/>
      </w:r>
      <w:r>
        <w:rPr>
          <w:rStyle w:val="VerbatimChar"/>
        </w:rPr>
        <w:t xml:space="preserve">## (score 42.28655 &amp; scale 12.57865).</w:t>
      </w:r>
      <w:r>
        <w:br/>
      </w:r>
      <w:r>
        <w:rPr>
          <w:rStyle w:val="VerbatimChar"/>
        </w:rPr>
        <w:t xml:space="preserve">## Hessian positive definite, eigenvalue range [1.968747e-06,5.520196].</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1.74    1.00    0.43</w:t>
      </w:r>
      <w:r>
        <w:br/>
      </w:r>
      <w:r>
        <w:rPr>
          <w:rStyle w:val="VerbatimChar"/>
        </w:rPr>
        <w:t xml:space="preserve">## s(Temp_C)                2.00 1.00    0.99    0.38</w:t>
      </w:r>
      <w:r>
        <w:br/>
      </w:r>
      <w:r>
        <w:rPr>
          <w:rStyle w:val="VerbatimChar"/>
        </w:rPr>
        <w:t xml:space="preserve">## ti(Temp_C,LightLevel_ue) 4.00 1.00    1.02    0.33</w:t>
      </w:r>
      <w:r>
        <w:br/>
      </w:r>
      <w:r>
        <w:rPr>
          <w:rStyle w:val="VerbatimChar"/>
        </w:rPr>
        <w:t xml:space="preserve">## </w:t>
      </w:r>
      <w:r>
        <w:br/>
      </w:r>
      <w:r>
        <w:rPr>
          <w:rStyle w:val="VerbatimChar"/>
        </w:rPr>
        <w:t xml:space="preserve">## </w:t>
      </w:r>
      <w:r>
        <w:br/>
      </w:r>
      <w:r>
        <w:rPr>
          <w:rStyle w:val="VerbatimChar"/>
        </w:rPr>
        <w:t xml:space="preserve">## ### GAM diagnostics: 7</w:t>
      </w:r>
    </w:p>
    <w:p>
      <w:pPr>
        <w:pStyle w:val="CaptionedFigure"/>
      </w:pPr>
      <w:r>
        <w:drawing>
          <wp:inline>
            <wp:extent cx="5943600" cy="4754880"/>
            <wp:effectExtent b="0" l="0" r="0" t="0"/>
            <wp:docPr descr="Fig 13: GAM model diagnostic summary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and 𝛔PSII)." title="" id="89" name="Picture"/>
            <a:graphic>
              <a:graphicData uri="http://schemas.openxmlformats.org/drawingml/2006/picture">
                <pic:pic>
                  <pic:nvPicPr>
                    <pic:cNvPr descr="Figures/gammodeldiagnostic-7.png" id="90" name="Picture"/>
                    <pic:cNvPicPr>
                      <a:picLocks noChangeArrowheads="1" noChangeAspect="1"/>
                    </pic:cNvPicPr>
                  </pic:nvPicPr>
                  <pic:blipFill>
                    <a:blip r:embed="rId8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1" w:name="fig:gammodeldiagnostic-7"/>
      <w:bookmarkEnd w:id="91"/>
      <w:r>
        <w:t xml:space="preserve">Fig 13: GAM model diagnostic summary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10 iterations.</w:t>
      </w:r>
      <w:r>
        <w:br/>
      </w:r>
      <w:r>
        <w:rPr>
          <w:rStyle w:val="VerbatimChar"/>
        </w:rPr>
        <w:t xml:space="preserve">## Gradient range [-1.145248e-05,7.291372e-06]</w:t>
      </w:r>
      <w:r>
        <w:br/>
      </w:r>
      <w:r>
        <w:rPr>
          <w:rStyle w:val="VerbatimChar"/>
        </w:rPr>
        <w:t xml:space="preserve">## (score 49.70235 &amp; scale 8.081872).</w:t>
      </w:r>
      <w:r>
        <w:br/>
      </w:r>
      <w:r>
        <w:rPr>
          <w:rStyle w:val="VerbatimChar"/>
        </w:rPr>
        <w:t xml:space="preserve">## Hessian positive definite, eigenvalue range [3.948816e-06,7.521732].</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1.85    0.70    0.06 .</w:t>
      </w:r>
      <w:r>
        <w:br/>
      </w:r>
      <w:r>
        <w:rPr>
          <w:rStyle w:val="VerbatimChar"/>
        </w:rPr>
        <w:t xml:space="preserve">## s(Temp_C)                2.00 1.25    1.14    0.64  </w:t>
      </w:r>
      <w:r>
        <w:br/>
      </w:r>
      <w:r>
        <w:rPr>
          <w:rStyle w:val="VerbatimChar"/>
        </w:rPr>
        <w:t xml:space="preserve">## ti(Temp_C,LightLevel_ue) 4.00 1.00    0.77    0.08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8</w:t>
      </w:r>
    </w:p>
    <w:p>
      <w:pPr>
        <w:pStyle w:val="CaptionedFigure"/>
      </w:pPr>
      <w:r>
        <w:drawing>
          <wp:inline>
            <wp:extent cx="5943600" cy="4754880"/>
            <wp:effectExtent b="0" l="0" r="0" t="0"/>
            <wp:docPr descr="Fig 14: GAM model diagnostic summary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and 𝛔PSII)." title="" id="93" name="Picture"/>
            <a:graphic>
              <a:graphicData uri="http://schemas.openxmlformats.org/drawingml/2006/picture">
                <pic:pic>
                  <pic:nvPicPr>
                    <pic:cNvPr descr="Figures/gammodeldiagnostic-8.png" id="94" name="Picture"/>
                    <pic:cNvPicPr>
                      <a:picLocks noChangeArrowheads="1" noChangeAspect="1"/>
                    </pic:cNvPicPr>
                  </pic:nvPicPr>
                  <pic:blipFill>
                    <a:blip r:embed="rId9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5" w:name="fig:gammodeldiagnostic-8"/>
      <w:bookmarkEnd w:id="95"/>
      <w:r>
        <w:t xml:space="preserve">Fig 14: GAM model diagnostic summary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8 iterations.</w:t>
      </w:r>
      <w:r>
        <w:br/>
      </w:r>
      <w:r>
        <w:rPr>
          <w:rStyle w:val="VerbatimChar"/>
        </w:rPr>
        <w:t xml:space="preserve">## Gradient range [-2.055142e-05,1.125567e-05]</w:t>
      </w:r>
      <w:r>
        <w:br/>
      </w:r>
      <w:r>
        <w:rPr>
          <w:rStyle w:val="VerbatimChar"/>
        </w:rPr>
        <w:t xml:space="preserve">## (score 49.36194 &amp; scale 10.11107).</w:t>
      </w:r>
      <w:r>
        <w:br/>
      </w:r>
      <w:r>
        <w:rPr>
          <w:rStyle w:val="VerbatimChar"/>
        </w:rPr>
        <w:t xml:space="preserve">## Hessian positive definite, eigenvalue range [9.922912e-07,7.021343].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1.84    1.04    0.47</w:t>
      </w:r>
      <w:r>
        <w:br/>
      </w:r>
      <w:r>
        <w:rPr>
          <w:rStyle w:val="VerbatimChar"/>
        </w:rPr>
        <w:t xml:space="preserve">## s(Temp_C)                2.00 1.00    1.06    0.50</w:t>
      </w:r>
      <w:r>
        <w:br/>
      </w:r>
      <w:r>
        <w:rPr>
          <w:rStyle w:val="VerbatimChar"/>
        </w:rPr>
        <w:t xml:space="preserve">## ti(Temp_C,LightLevel_ue) 4.00 1.00    1.04    0.48</w:t>
      </w:r>
      <w:r>
        <w:br/>
      </w:r>
      <w:r>
        <w:rPr>
          <w:rStyle w:val="VerbatimChar"/>
        </w:rPr>
        <w:t xml:space="preserve">## </w:t>
      </w:r>
      <w:r>
        <w:br/>
      </w:r>
      <w:r>
        <w:rPr>
          <w:rStyle w:val="VerbatimChar"/>
        </w:rPr>
        <w:t xml:space="preserve">## </w:t>
      </w:r>
      <w:r>
        <w:br/>
      </w:r>
      <w:r>
        <w:rPr>
          <w:rStyle w:val="VerbatimChar"/>
        </w:rPr>
        <w:t xml:space="preserve">## ### GAM diagnostics: 9</w:t>
      </w:r>
    </w:p>
    <w:p>
      <w:pPr>
        <w:pStyle w:val="CaptionedFigure"/>
      </w:pPr>
      <w:r>
        <w:drawing>
          <wp:inline>
            <wp:extent cx="5943600" cy="4754880"/>
            <wp:effectExtent b="0" l="0" r="0" t="0"/>
            <wp:docPr descr="Fig 15: GAM model diagnostic summary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and 𝛔PSII)." title="" id="97" name="Picture"/>
            <a:graphic>
              <a:graphicData uri="http://schemas.openxmlformats.org/drawingml/2006/picture">
                <pic:pic>
                  <pic:nvPicPr>
                    <pic:cNvPr descr="Figures/gammodeldiagnostic-9.png" id="98" name="Picture"/>
                    <pic:cNvPicPr>
                      <a:picLocks noChangeArrowheads="1" noChangeAspect="1"/>
                    </pic:cNvPicPr>
                  </pic:nvPicPr>
                  <pic:blipFill>
                    <a:blip r:embed="rId9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9" w:name="fig:gammodeldiagnostic-9"/>
      <w:bookmarkEnd w:id="99"/>
      <w:r>
        <w:t xml:space="preserve">Fig 15: GAM model diagnostic summary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[-3.720374e-05,8.668272e-05]</w:t>
      </w:r>
      <w:r>
        <w:br/>
      </w:r>
      <w:r>
        <w:rPr>
          <w:rStyle w:val="VerbatimChar"/>
        </w:rPr>
        <w:t xml:space="preserve">## (score 104.6995 &amp; scale 7.872017).</w:t>
      </w:r>
      <w:r>
        <w:br/>
      </w:r>
      <w:r>
        <w:rPr>
          <w:rStyle w:val="VerbatimChar"/>
        </w:rPr>
        <w:t xml:space="preserve">## Hessian positive definite, eigenvalue range [2.611616e-05,18.51441].</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1.90    0.72   0.030 * </w:t>
      </w:r>
      <w:r>
        <w:br/>
      </w:r>
      <w:r>
        <w:rPr>
          <w:rStyle w:val="VerbatimChar"/>
        </w:rPr>
        <w:t xml:space="preserve">## s(Temp_C)                2.00 1.77    1.06   0.645   </w:t>
      </w:r>
      <w:r>
        <w:br/>
      </w:r>
      <w:r>
        <w:rPr>
          <w:rStyle w:val="VerbatimChar"/>
        </w:rPr>
        <w:t xml:space="preserve">## ti(Temp_C,LightLevel_ue) 4.00 1.00    0.62   0.005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10</w:t>
      </w:r>
    </w:p>
    <w:p>
      <w:pPr>
        <w:pStyle w:val="CaptionedFigure"/>
      </w:pPr>
      <w:r>
        <w:drawing>
          <wp:inline>
            <wp:extent cx="5943600" cy="4754880"/>
            <wp:effectExtent b="0" l="0" r="0" t="0"/>
            <wp:docPr descr="Fig 16: GAM model diagnostic summary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and 𝛔PSII)." title="" id="101" name="Picture"/>
            <a:graphic>
              <a:graphicData uri="http://schemas.openxmlformats.org/drawingml/2006/picture">
                <pic:pic>
                  <pic:nvPicPr>
                    <pic:cNvPr descr="Figures/gammodeldiagnostic-10.png" id="102" name="Picture"/>
                    <pic:cNvPicPr>
                      <a:picLocks noChangeArrowheads="1" noChangeAspect="1"/>
                    </pic:cNvPicPr>
                  </pic:nvPicPr>
                  <pic:blipFill>
                    <a:blip r:embed="rId10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3" w:name="fig:gammodeldiagnostic-10"/>
      <w:bookmarkEnd w:id="103"/>
      <w:r>
        <w:t xml:space="preserve">Fig 16: GAM model diagnostic summary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9 iterations.</w:t>
      </w:r>
      <w:r>
        <w:br/>
      </w:r>
      <w:r>
        <w:rPr>
          <w:rStyle w:val="VerbatimChar"/>
        </w:rPr>
        <w:t xml:space="preserve">## Gradient range [-6.765617e-05,3.899604e-05]</w:t>
      </w:r>
      <w:r>
        <w:br/>
      </w:r>
      <w:r>
        <w:rPr>
          <w:rStyle w:val="VerbatimChar"/>
        </w:rPr>
        <w:t xml:space="preserve">## (score 103.853 &amp; scale 6.13007).</w:t>
      </w:r>
      <w:r>
        <w:br/>
      </w:r>
      <w:r>
        <w:rPr>
          <w:rStyle w:val="VerbatimChar"/>
        </w:rPr>
        <w:t xml:space="preserve">## Hessian positive definite, eigenvalue range [5.51875e-05,20.0096].</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1.87    1.01   0.500  </w:t>
      </w:r>
      <w:r>
        <w:br/>
      </w:r>
      <w:r>
        <w:rPr>
          <w:rStyle w:val="VerbatimChar"/>
        </w:rPr>
        <w:t xml:space="preserve">## s(Temp_C)                2.00 1.00    1.27   0.950  </w:t>
      </w:r>
      <w:r>
        <w:br/>
      </w:r>
      <w:r>
        <w:rPr>
          <w:rStyle w:val="VerbatimChar"/>
        </w:rPr>
        <w:t xml:space="preserve">## ti(Temp_C,LightLevel_ue) 4.00 2.19    0.85   0.055 .</w:t>
      </w:r>
      <w:r>
        <w:br/>
      </w:r>
      <w:r>
        <w:rPr>
          <w:rStyle w:val="VerbatimChar"/>
        </w:rPr>
        <w:t xml:space="preserve">## ---</w:t>
      </w:r>
      <w:r>
        <w:br/>
      </w:r>
      <w:r>
        <w:rPr>
          <w:rStyle w:val="VerbatimChar"/>
        </w:rPr>
        <w:t xml:space="preserve">## Signif. codes:  0 '***' 0.001 '**' 0.01 '*' 0.05 '.' 0.1 ' ' 1</w:t>
      </w:r>
    </w:p>
    <w:bookmarkEnd w:id="104"/>
    <w:bookmarkStart w:id="271" w:name="references"/>
    <w:p>
      <w:pPr>
        <w:pStyle w:val="Heading1"/>
      </w:pPr>
      <w:r>
        <w:t xml:space="preserve">References</w:t>
      </w:r>
    </w:p>
    <w:bookmarkStart w:id="270" w:name="refs"/>
    <w:bookmarkStart w:id="106"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105">
        <w:r>
          <w:rPr>
            <w:rStyle w:val="Hyperlink"/>
          </w:rPr>
          <w:t xml:space="preserve">10.1038/s41558-020-0905-y</w:t>
        </w:r>
      </w:hyperlink>
      <w:r>
        <w:t xml:space="preserve">.</w:t>
      </w:r>
    </w:p>
    <w:bookmarkEnd w:id="106"/>
    <w:bookmarkStart w:id="108"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107">
        <w:r>
          <w:rPr>
            <w:rStyle w:val="Hyperlink"/>
          </w:rPr>
          <w:t xml:space="preserve">10.5194/bg-9-4553-2012</w:t>
        </w:r>
      </w:hyperlink>
      <w:r>
        <w:t xml:space="preserve">.</w:t>
      </w:r>
    </w:p>
    <w:bookmarkEnd w:id="108"/>
    <w:bookmarkStart w:id="110"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109">
        <w:r>
          <w:rPr>
            <w:rStyle w:val="Hyperlink"/>
          </w:rPr>
          <w:t xml:space="preserve">10.1016/j.cryobiol.2011.08.006</w:t>
        </w:r>
      </w:hyperlink>
      <w:r>
        <w:t xml:space="preserve">.</w:t>
      </w:r>
    </w:p>
    <w:bookmarkEnd w:id="110"/>
    <w:bookmarkStart w:id="112"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111">
        <w:r>
          <w:rPr>
            <w:rStyle w:val="Hyperlink"/>
          </w:rPr>
          <w:t xml:space="preserve">https://googlesheets4.tidyverse.org</w:t>
        </w:r>
      </w:hyperlink>
      <w:r>
        <w:t xml:space="preserve">.</w:t>
      </w:r>
    </w:p>
    <w:bookmarkEnd w:id="112"/>
    <w:bookmarkStart w:id="114" w:name="ref-campitelliMetRToolsEasier2021"/>
    <w:p>
      <w:pPr>
        <w:pStyle w:val="Bibliography"/>
      </w:pPr>
      <w:r>
        <w:t xml:space="preserve">Campitelli, E. (2021).</w:t>
      </w:r>
      <w:r>
        <w:t xml:space="preserve"> </w:t>
      </w:r>
      <w:r>
        <w:rPr>
          <w:i/>
          <w:iCs/>
        </w:rPr>
        <w:t xml:space="preserve">metR</w:t>
      </w:r>
      <w:r>
        <w:rPr>
          <w:i/>
          <w:iCs/>
        </w:rPr>
        <w:t xml:space="preserve">:</w:t>
      </w:r>
      <w:r>
        <w:rPr>
          <w:i/>
          <w:iCs/>
        </w:rPr>
        <w:t xml:space="preserve"> </w:t>
      </w:r>
      <w:r>
        <w:rPr>
          <w:i/>
          <w:iCs/>
        </w:rPr>
        <w:t xml:space="preserve">Tools</w:t>
      </w:r>
      <w:r>
        <w:rPr>
          <w:i/>
          <w:iCs/>
        </w:rPr>
        <w:t xml:space="preserve"> </w:t>
      </w:r>
      <w:r>
        <w:rPr>
          <w:i/>
          <w:iCs/>
        </w:rPr>
        <w:t xml:space="preserve">for easier analysis of meteorological fields</w:t>
      </w:r>
      <w:r>
        <w:t xml:space="preserve">. doi:</w:t>
      </w:r>
      <w:hyperlink r:id="rId113">
        <w:r>
          <w:rPr>
            <w:rStyle w:val="Hyperlink"/>
          </w:rPr>
          <w:t xml:space="preserve">10.5281/zenodo.2593516</w:t>
        </w:r>
      </w:hyperlink>
      <w:r>
        <w:t xml:space="preserve">.</w:t>
      </w:r>
    </w:p>
    <w:bookmarkEnd w:id="114"/>
    <w:bookmarkStart w:id="116"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115">
        <w:r>
          <w:rPr>
            <w:rStyle w:val="Hyperlink"/>
          </w:rPr>
          <w:t xml:space="preserve">10.1007/s00442-008-0993-2</w:t>
        </w:r>
      </w:hyperlink>
      <w:r>
        <w:t xml:space="preserve">.</w:t>
      </w:r>
    </w:p>
    <w:bookmarkEnd w:id="116"/>
    <w:bookmarkStart w:id="118"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117">
        <w:r>
          <w:rPr>
            <w:rStyle w:val="Hyperlink"/>
          </w:rPr>
          <w:t xml:space="preserve">10.1007/s00300-010-0794-z</w:t>
        </w:r>
      </w:hyperlink>
      <w:r>
        <w:t xml:space="preserve">.</w:t>
      </w:r>
    </w:p>
    <w:bookmarkEnd w:id="118"/>
    <w:bookmarkStart w:id="120" w:name="ref-cohenLightPolarNight2020"/>
    <w:p>
      <w:pPr>
        <w:pStyle w:val="Bibliography"/>
      </w:pPr>
      <w:r>
        <w:t xml:space="preserve">Cohen, J. H., Berge, J., Moline, M. A., Johnsen, G., and Zolich, A. P. (2020).</w:t>
      </w:r>
      <w:r>
        <w:t xml:space="preserve"> </w:t>
      </w:r>
      <w:r>
        <w:t xml:space="preserve">“Light in the</w:t>
      </w:r>
      <w:r>
        <w:t xml:space="preserve"> </w:t>
      </w:r>
      <w:r>
        <w:t xml:space="preserve">Polar Night</w:t>
      </w:r>
      <w:r>
        <w:t xml:space="preserve">,”</w:t>
      </w:r>
      <w:r>
        <w:t xml:space="preserve"> </w:t>
      </w:r>
      <w:r>
        <w:t xml:space="preserve">in</w:t>
      </w:r>
      <w:r>
        <w:t xml:space="preserve"> </w:t>
      </w:r>
      <w:r>
        <w:rPr>
          <w:i/>
          <w:iCs/>
        </w:rPr>
        <w:t xml:space="preserve">POLAR NIGHT Marine Ecology</w:t>
      </w:r>
      <w:r>
        <w:t xml:space="preserve">, eds. J. Berge, G. Johnsen, and J. H. Cohen (Cham: Springer International Publishing), 37–66. doi:</w:t>
      </w:r>
      <w:hyperlink r:id="rId119">
        <w:r>
          <w:rPr>
            <w:rStyle w:val="Hyperlink"/>
          </w:rPr>
          <w:t xml:space="preserve">10.1007/978-3-030-33208-2_3</w:t>
        </w:r>
      </w:hyperlink>
      <w:r>
        <w:t xml:space="preserve">.</w:t>
      </w:r>
    </w:p>
    <w:bookmarkEnd w:id="120"/>
    <w:bookmarkStart w:id="122"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121">
        <w:r>
          <w:rPr>
            <w:rStyle w:val="Hyperlink"/>
          </w:rPr>
          <w:t xml:space="preserve">10.1007/s11120-019-00621-0</w:t>
        </w:r>
      </w:hyperlink>
      <w:r>
        <w:t xml:space="preserve">.</w:t>
      </w:r>
    </w:p>
    <w:bookmarkEnd w:id="122"/>
    <w:bookmarkStart w:id="124"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123">
        <w:r>
          <w:rPr>
            <w:rStyle w:val="Hyperlink"/>
          </w:rPr>
          <w:t xml:space="preserve">10.1111/ppl.13811</w:t>
        </w:r>
      </w:hyperlink>
      <w:r>
        <w:t xml:space="preserve">.</w:t>
      </w:r>
    </w:p>
    <w:bookmarkEnd w:id="124"/>
    <w:bookmarkStart w:id="126"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125">
        <w:r>
          <w:rPr>
            <w:rStyle w:val="Hyperlink"/>
          </w:rPr>
          <w:t xml:space="preserve">10.1007/s11120-007-9141-9</w:t>
        </w:r>
      </w:hyperlink>
      <w:r>
        <w:t xml:space="preserve">.</w:t>
      </w:r>
    </w:p>
    <w:bookmarkEnd w:id="126"/>
    <w:bookmarkStart w:id="128"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127">
        <w:r>
          <w:rPr>
            <w:rStyle w:val="Hyperlink"/>
          </w:rPr>
          <w:t xml:space="preserve">10.1023/A:1016128632704</w:t>
        </w:r>
      </w:hyperlink>
      <w:r>
        <w:t xml:space="preserve">.</w:t>
      </w:r>
    </w:p>
    <w:bookmarkEnd w:id="128"/>
    <w:bookmarkStart w:id="130" w:name="ref-falkowskiMicrobialEnginesThat2008"/>
    <w:p>
      <w:pPr>
        <w:pStyle w:val="Bibliography"/>
      </w:pPr>
      <w:r>
        <w:t xml:space="preserve">Falkowski, P., Fenchel, T., and Delong, E. (2008). The</w:t>
      </w:r>
      <w:r>
        <w:t xml:space="preserve"> </w:t>
      </w:r>
      <w:r>
        <w:t xml:space="preserve">Microbial Engines That Drive Earth</w:t>
      </w:r>
      <w:r>
        <w:t xml:space="preserve">’s</w:t>
      </w:r>
      <w:r>
        <w:t xml:space="preserve"> </w:t>
      </w:r>
      <w:r>
        <w:t xml:space="preserve">Biogeochemical Cycles</w:t>
      </w:r>
      <w:r>
        <w:t xml:space="preserve">.</w:t>
      </w:r>
      <w:r>
        <w:t xml:space="preserve"> </w:t>
      </w:r>
      <w:r>
        <w:rPr>
          <w:i/>
          <w:iCs/>
        </w:rPr>
        <w:t xml:space="preserve">Science</w:t>
      </w:r>
      <w:r>
        <w:t xml:space="preserve"> </w:t>
      </w:r>
      <w:r>
        <w:t xml:space="preserve">320, 1034–1039. doi:</w:t>
      </w:r>
      <w:hyperlink r:id="rId129">
        <w:r>
          <w:rPr>
            <w:rStyle w:val="Hyperlink"/>
          </w:rPr>
          <w:t xml:space="preserve">10.1126/science.1153213</w:t>
        </w:r>
      </w:hyperlink>
      <w:r>
        <w:t xml:space="preserve">.</w:t>
      </w:r>
    </w:p>
    <w:bookmarkEnd w:id="130"/>
    <w:bookmarkStart w:id="132" w:name="X298f9499442302a99cb02295c2bedda7afdbc9c"/>
    <w:p>
      <w:pPr>
        <w:pStyle w:val="Bibliography"/>
      </w:pPr>
      <w:r>
        <w:t xml:space="preserve">Fasiolo, M., Nedellec, R., Goude, Y., and Wood, S. N. (2020). Scalable</w:t>
      </w:r>
      <w:r>
        <w:t xml:space="preserve"> </w:t>
      </w:r>
      <w:r>
        <w:t xml:space="preserve">Visualization Methods</w:t>
      </w:r>
      <w:r>
        <w:t xml:space="preserve"> </w:t>
      </w:r>
      <w:r>
        <w:t xml:space="preserve">for</w:t>
      </w:r>
      <w:r>
        <w:t xml:space="preserve"> </w:t>
      </w:r>
      <w:r>
        <w:t xml:space="preserve">Modern Generalized Additive Models</w:t>
      </w:r>
      <w:r>
        <w:t xml:space="preserve">.</w:t>
      </w:r>
      <w:r>
        <w:t xml:space="preserve"> </w:t>
      </w:r>
      <w:r>
        <w:rPr>
          <w:i/>
          <w:iCs/>
        </w:rPr>
        <w:t xml:space="preserve">Journal of Computational and Graphical Statistics</w:t>
      </w:r>
      <w:r>
        <w:t xml:space="preserve"> </w:t>
      </w:r>
      <w:r>
        <w:t xml:space="preserve">29, 78–86. doi:</w:t>
      </w:r>
      <w:hyperlink r:id="rId131">
        <w:r>
          <w:rPr>
            <w:rStyle w:val="Hyperlink"/>
          </w:rPr>
          <w:t xml:space="preserve">10.1080/10618600.2019.1629942</w:t>
        </w:r>
      </w:hyperlink>
      <w:r>
        <w:t xml:space="preserve">.</w:t>
      </w:r>
    </w:p>
    <w:bookmarkEnd w:id="132"/>
    <w:bookmarkStart w:id="134" w:name="X315305f8bb3c7d89490e74aa8838a1dad156f86"/>
    <w:p>
      <w:pPr>
        <w:pStyle w:val="Bibliography"/>
      </w:pPr>
      <w:r>
        <w:t xml:space="preserve">Fiala, M., and Oriol, L. (1990). Light-temperature interactions on the growth of</w:t>
      </w:r>
      <w:r>
        <w:t xml:space="preserve"> </w:t>
      </w:r>
      <w:r>
        <w:t xml:space="preserve">Antarctic</w:t>
      </w:r>
      <w:r>
        <w:t xml:space="preserve"> </w:t>
      </w:r>
      <w:r>
        <w:t xml:space="preserve">diatoms.</w:t>
      </w:r>
      <w:r>
        <w:t xml:space="preserve"> </w:t>
      </w:r>
      <w:r>
        <w:rPr>
          <w:i/>
          <w:iCs/>
        </w:rPr>
        <w:t xml:space="preserve">Polar Biology</w:t>
      </w:r>
      <w:r>
        <w:t xml:space="preserve"> </w:t>
      </w:r>
      <w:r>
        <w:t xml:space="preserve">10, 629–636. doi:</w:t>
      </w:r>
      <w:hyperlink r:id="rId133">
        <w:r>
          <w:rPr>
            <w:rStyle w:val="Hyperlink"/>
          </w:rPr>
          <w:t xml:space="preserve">10.1007/BF00239374</w:t>
        </w:r>
      </w:hyperlink>
      <w:r>
        <w:t xml:space="preserve">.</w:t>
      </w:r>
    </w:p>
    <w:bookmarkEnd w:id="134"/>
    <w:bookmarkStart w:id="136"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135">
        <w:r>
          <w:rPr>
            <w:rStyle w:val="Hyperlink"/>
          </w:rPr>
          <w:t xml:space="preserve">10.1016/j.bbabio.2020.148212</w:t>
        </w:r>
      </w:hyperlink>
      <w:r>
        <w:t xml:space="preserve">.</w:t>
      </w:r>
    </w:p>
    <w:bookmarkEnd w:id="136"/>
    <w:bookmarkStart w:id="138"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137">
        <w:r>
          <w:rPr>
            <w:rStyle w:val="Hyperlink"/>
          </w:rPr>
          <w:t xml:space="preserve">https://github.com/hojsgaard/doBy</w:t>
        </w:r>
      </w:hyperlink>
      <w:r>
        <w:t xml:space="preserve">.</w:t>
      </w:r>
    </w:p>
    <w:bookmarkEnd w:id="138"/>
    <w:bookmarkStart w:id="140"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139">
        <w:r>
          <w:rPr>
            <w:rStyle w:val="Hyperlink"/>
          </w:rPr>
          <w:t xml:space="preserve">10.1039/D2SC00854H</w:t>
        </w:r>
      </w:hyperlink>
      <w:r>
        <w:t xml:space="preserve">.</w:t>
      </w:r>
    </w:p>
    <w:bookmarkEnd w:id="140"/>
    <w:bookmarkStart w:id="142"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141">
        <w:r>
          <w:rPr>
            <w:rStyle w:val="Hyperlink"/>
          </w:rPr>
          <w:t xml:space="preserve">10.1016/j.bbabio.2008.03.007</w:t>
        </w:r>
      </w:hyperlink>
      <w:r>
        <w:t xml:space="preserve">.</w:t>
      </w:r>
    </w:p>
    <w:bookmarkEnd w:id="142"/>
    <w:bookmarkStart w:id="144"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143">
        <w:r>
          <w:rPr>
            <w:rStyle w:val="Hyperlink"/>
          </w:rPr>
          <w:t xml:space="preserve">10.1074/jbc.M112.342543</w:t>
        </w:r>
      </w:hyperlink>
      <w:r>
        <w:t xml:space="preserve">.</w:t>
      </w:r>
    </w:p>
    <w:bookmarkEnd w:id="144"/>
    <w:bookmarkStart w:id="146"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145">
        <w:r>
          <w:rPr>
            <w:rStyle w:val="Hyperlink"/>
          </w:rPr>
          <w:t xml:space="preserve">10.1002/2017JC013263</w:t>
        </w:r>
      </w:hyperlink>
      <w:r>
        <w:t xml:space="preserve">.</w:t>
      </w:r>
    </w:p>
    <w:bookmarkEnd w:id="146"/>
    <w:bookmarkStart w:id="148"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47">
        <w:r>
          <w:rPr>
            <w:rStyle w:val="Hyperlink"/>
          </w:rPr>
          <w:t xml:space="preserve">10.1038/s41467-024-51636-8</w:t>
        </w:r>
      </w:hyperlink>
      <w:r>
        <w:t xml:space="preserve">.</w:t>
      </w:r>
    </w:p>
    <w:bookmarkEnd w:id="148"/>
    <w:bookmarkStart w:id="150"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49">
        <w:r>
          <w:rPr>
            <w:rStyle w:val="Hyperlink"/>
          </w:rPr>
          <w:t xml:space="preserve">10.1016/j.algal.2023.103220</w:t>
        </w:r>
      </w:hyperlink>
      <w:r>
        <w:t xml:space="preserve">.</w:t>
      </w:r>
    </w:p>
    <w:bookmarkEnd w:id="150"/>
    <w:bookmarkStart w:id="152" w:name="Xf55ad7cc8f46f8d69c6ea99b14801e8c6f8dc20"/>
    <w:p>
      <w:pPr>
        <w:pStyle w:val="Bibliography"/>
      </w:pPr>
      <w:r>
        <w:t xml:space="preserve">Ibarbalz, F. M., Henry, N., Mahé, F., Ardyna, M., Zingone, A., Scalco, E., Lovejoy, C., Lombard, F., Jaillon, O., Iudicone, D., et al. (2023). Pan-</w:t>
      </w:r>
      <w:r>
        <w:t xml:space="preserve">Arctic</w:t>
      </w:r>
      <w:r>
        <w:t xml:space="preserve"> </w:t>
      </w:r>
      <w:r>
        <w:t xml:space="preserve">plankton community structure and its global connectivity.</w:t>
      </w:r>
      <w:r>
        <w:t xml:space="preserve"> </w:t>
      </w:r>
      <w:r>
        <w:rPr>
          <w:i/>
          <w:iCs/>
        </w:rPr>
        <w:t xml:space="preserve">Elementa: Science of the Anthropocene</w:t>
      </w:r>
      <w:r>
        <w:t xml:space="preserve"> </w:t>
      </w:r>
      <w:r>
        <w:t xml:space="preserve">11, 00060. doi:</w:t>
      </w:r>
      <w:hyperlink r:id="rId151">
        <w:r>
          <w:rPr>
            <w:rStyle w:val="Hyperlink"/>
          </w:rPr>
          <w:t xml:space="preserve">10.1525/elementa.2022.00060</w:t>
        </w:r>
      </w:hyperlink>
      <w:r>
        <w:t xml:space="preserve">.</w:t>
      </w:r>
    </w:p>
    <w:bookmarkEnd w:id="152"/>
    <w:bookmarkStart w:id="154"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53">
        <w:r>
          <w:rPr>
            <w:rStyle w:val="Hyperlink"/>
          </w:rPr>
          <w:t xml:space="preserve">10.1016/j.febslet.2006.04.018</w:t>
        </w:r>
      </w:hyperlink>
      <w:r>
        <w:t xml:space="preserve">.</w:t>
      </w:r>
    </w:p>
    <w:bookmarkEnd w:id="154"/>
    <w:bookmarkStart w:id="156"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55">
        <w:r>
          <w:rPr>
            <w:rStyle w:val="Hyperlink"/>
          </w:rPr>
          <w:t xml:space="preserve">10.1034/j.1399-3054.2003.00225.x</w:t>
        </w:r>
      </w:hyperlink>
      <w:r>
        <w:t xml:space="preserve">.</w:t>
      </w:r>
    </w:p>
    <w:bookmarkEnd w:id="156"/>
    <w:bookmarkStart w:id="158"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57">
        <w:r>
          <w:rPr>
            <w:rStyle w:val="Hyperlink"/>
          </w:rPr>
          <w:t xml:space="preserve">10.1007/s11120-023-01032-y</w:t>
        </w:r>
      </w:hyperlink>
      <w:r>
        <w:t xml:space="preserve">.</w:t>
      </w:r>
    </w:p>
    <w:bookmarkEnd w:id="158"/>
    <w:bookmarkStart w:id="160"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59">
        <w:r>
          <w:rPr>
            <w:rStyle w:val="Hyperlink"/>
          </w:rPr>
          <w:t xml:space="preserve">10.1007/BF00236984</w:t>
        </w:r>
      </w:hyperlink>
      <w:r>
        <w:t xml:space="preserve">.</w:t>
      </w:r>
    </w:p>
    <w:bookmarkEnd w:id="160"/>
    <w:bookmarkStart w:id="162"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61">
        <w:r>
          <w:rPr>
            <w:rStyle w:val="Hyperlink"/>
          </w:rPr>
          <w:t xml:space="preserve">10.1073/pnas.94.4.1579</w:t>
        </w:r>
      </w:hyperlink>
      <w:r>
        <w:t xml:space="preserve">.</w:t>
      </w:r>
    </w:p>
    <w:bookmarkEnd w:id="162"/>
    <w:bookmarkStart w:id="163"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63"/>
    <w:bookmarkStart w:id="165"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64">
        <w:r>
          <w:rPr>
            <w:rStyle w:val="Hyperlink"/>
          </w:rPr>
          <w:t xml:space="preserve">10.1016/S0005-2728(98)00135-2</w:t>
        </w:r>
      </w:hyperlink>
      <w:r>
        <w:t xml:space="preserve">.</w:t>
      </w:r>
    </w:p>
    <w:bookmarkEnd w:id="165"/>
    <w:bookmarkStart w:id="167"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66">
        <w:r>
          <w:rPr>
            <w:rStyle w:val="Hyperlink"/>
          </w:rPr>
          <w:t xml:space="preserve">10.1093/jxb/erj183</w:t>
        </w:r>
      </w:hyperlink>
      <w:r>
        <w:t xml:space="preserve">.</w:t>
      </w:r>
    </w:p>
    <w:bookmarkEnd w:id="167"/>
    <w:bookmarkStart w:id="169"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68">
        <w:r>
          <w:rPr>
            <w:rStyle w:val="Hyperlink"/>
          </w:rPr>
          <w:t xml:space="preserve">10.1016/j.pocean.2015.07.012</w:t>
        </w:r>
      </w:hyperlink>
      <w:r>
        <w:t xml:space="preserve">.</w:t>
      </w:r>
    </w:p>
    <w:bookmarkEnd w:id="169"/>
    <w:bookmarkStart w:id="171"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70">
        <w:r>
          <w:rPr>
            <w:rStyle w:val="Hyperlink"/>
          </w:rPr>
          <w:t xml:space="preserve">10.1007/s00114-014-1223-x</w:t>
        </w:r>
      </w:hyperlink>
      <w:r>
        <w:t xml:space="preserve">.</w:t>
      </w:r>
    </w:p>
    <w:bookmarkEnd w:id="171"/>
    <w:bookmarkStart w:id="173"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172">
        <w:r>
          <w:rPr>
            <w:rStyle w:val="Hyperlink"/>
          </w:rPr>
          <w:t xml:space="preserve">10.3389/fmicb.2019.01067</w:t>
        </w:r>
      </w:hyperlink>
      <w:r>
        <w:t xml:space="preserve">.</w:t>
      </w:r>
    </w:p>
    <w:bookmarkEnd w:id="173"/>
    <w:bookmarkStart w:id="175"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74">
        <w:r>
          <w:rPr>
            <w:rStyle w:val="Hyperlink"/>
          </w:rPr>
          <w:t xml:space="preserve">10.1128/AEM.00478-16</w:t>
        </w:r>
      </w:hyperlink>
      <w:r>
        <w:t xml:space="preserve">.</w:t>
      </w:r>
    </w:p>
    <w:bookmarkEnd w:id="175"/>
    <w:bookmarkStart w:id="177"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76">
        <w:r>
          <w:rPr>
            <w:rStyle w:val="Hyperlink"/>
          </w:rPr>
          <w:t xml:space="preserve">10.3390/biology3010056</w:t>
        </w:r>
      </w:hyperlink>
      <w:r>
        <w:t xml:space="preserve">.</w:t>
      </w:r>
    </w:p>
    <w:bookmarkEnd w:id="177"/>
    <w:bookmarkStart w:id="179"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178">
        <w:r>
          <w:rPr>
            <w:rStyle w:val="Hyperlink"/>
          </w:rPr>
          <w:t xml:space="preserve">10.1007/s00227-003-1052-5</w:t>
        </w:r>
      </w:hyperlink>
      <w:r>
        <w:t xml:space="preserve">.</w:t>
      </w:r>
    </w:p>
    <w:bookmarkEnd w:id="179"/>
    <w:bookmarkStart w:id="181"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80">
        <w:r>
          <w:rPr>
            <w:rStyle w:val="Hyperlink"/>
          </w:rPr>
          <w:t xml:space="preserve">10.1038/nature20803</w:t>
        </w:r>
      </w:hyperlink>
      <w:r>
        <w:t xml:space="preserve">.</w:t>
      </w:r>
    </w:p>
    <w:bookmarkEnd w:id="181"/>
    <w:bookmarkStart w:id="183"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82">
        <w:r>
          <w:rPr>
            <w:rStyle w:val="Hyperlink"/>
          </w:rPr>
          <w:t xml:space="preserve">10.3389/fpls.2020.619064</w:t>
        </w:r>
      </w:hyperlink>
      <w:r>
        <w:t xml:space="preserve">.</w:t>
      </w:r>
    </w:p>
    <w:bookmarkEnd w:id="183"/>
    <w:bookmarkStart w:id="185"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184">
        <w:r>
          <w:rPr>
            <w:rStyle w:val="Hyperlink"/>
          </w:rPr>
          <w:t xml:space="preserve">10.1002/lno.10107</w:t>
        </w:r>
      </w:hyperlink>
      <w:r>
        <w:t xml:space="preserve">.</w:t>
      </w:r>
    </w:p>
    <w:bookmarkEnd w:id="185"/>
    <w:bookmarkStart w:id="187"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186">
        <w:r>
          <w:rPr>
            <w:rStyle w:val="Hyperlink"/>
          </w:rPr>
          <w:t xml:space="preserve">10.1021/cr0206014</w:t>
        </w:r>
      </w:hyperlink>
      <w:r>
        <w:t xml:space="preserve">.</w:t>
      </w:r>
    </w:p>
    <w:bookmarkEnd w:id="187"/>
    <w:bookmarkStart w:id="189"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188">
        <w:r>
          <w:rPr>
            <w:rStyle w:val="Hyperlink"/>
          </w:rPr>
          <w:t xml:space="preserve">10.1111/jpy.13325</w:t>
        </w:r>
      </w:hyperlink>
      <w:r>
        <w:t xml:space="preserve">.</w:t>
      </w:r>
    </w:p>
    <w:bookmarkEnd w:id="189"/>
    <w:bookmarkStart w:id="191"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190">
        <w:r>
          <w:rPr>
            <w:rStyle w:val="Hyperlink"/>
          </w:rPr>
          <w:t xml:space="preserve">10.1146/annurev-marine-010419-010706</w:t>
        </w:r>
      </w:hyperlink>
      <w:r>
        <w:t xml:space="preserve">.</w:t>
      </w:r>
    </w:p>
    <w:bookmarkEnd w:id="191"/>
    <w:bookmarkStart w:id="193"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192">
        <w:r>
          <w:rPr>
            <w:rStyle w:val="Hyperlink"/>
          </w:rPr>
          <w:t xml:space="preserve">10.3390/math9040299</w:t>
        </w:r>
      </w:hyperlink>
      <w:r>
        <w:t xml:space="preserve">.</w:t>
      </w:r>
    </w:p>
    <w:bookmarkEnd w:id="193"/>
    <w:bookmarkStart w:id="195"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194">
        <w:r>
          <w:rPr>
            <w:rStyle w:val="Hyperlink"/>
          </w:rPr>
          <w:t xml:space="preserve">10.1007/s11120-024-01127-0</w:t>
        </w:r>
      </w:hyperlink>
      <w:r>
        <w:t xml:space="preserve">.</w:t>
      </w:r>
    </w:p>
    <w:bookmarkEnd w:id="195"/>
    <w:bookmarkStart w:id="197" w:name="ref-poirierAberrantLightSensing"/>
    <w:p>
      <w:pPr>
        <w:pStyle w:val="Bibliography"/>
      </w:pPr>
      <w:r>
        <w:t xml:space="preserve">Poirier, M., Osmers, P., Wilkins, K., Morgan-Kiss, R. M., and Cvetkovska, M.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196">
        <w:r>
          <w:rPr>
            <w:rStyle w:val="Hyperlink"/>
          </w:rPr>
          <w:t xml:space="preserve">10.1080/15592324.2023.2184588</w:t>
        </w:r>
      </w:hyperlink>
      <w:r>
        <w:t xml:space="preserve">.</w:t>
      </w:r>
    </w:p>
    <w:bookmarkEnd w:id="197"/>
    <w:bookmarkStart w:id="198"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198"/>
    <w:bookmarkStart w:id="200"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199">
        <w:r>
          <w:rPr>
            <w:rStyle w:val="Hyperlink"/>
          </w:rPr>
          <w:t xml:space="preserve">10.1111/jpy.13362</w:t>
        </w:r>
      </w:hyperlink>
      <w:r>
        <w:t xml:space="preserve">.</w:t>
      </w:r>
    </w:p>
    <w:bookmarkEnd w:id="200"/>
    <w:bookmarkStart w:id="202" w:name="X1e63b3b42ca91655412fea5d8dfaafec0b095ed"/>
    <w:p>
      <w:pPr>
        <w:pStyle w:val="Bibliography"/>
      </w:pPr>
      <w:r>
        <w:t xml:space="preserve">Quigg, A., Beardall, J., and Wydrzynski, T. (2003). Photoacclimation involves modulation of the photosynthetic oxygen-evolving reactions in</w:t>
      </w:r>
      <w:r>
        <w:t xml:space="preserve"> </w:t>
      </w:r>
      <w:r>
        <w:t xml:space="preserve">Dunaliella</w:t>
      </w:r>
      <w:r>
        <w:t xml:space="preserve"> </w:t>
      </w:r>
      <w:r>
        <w:t xml:space="preserve">tertiolecta and</w:t>
      </w:r>
      <w:r>
        <w:t xml:space="preserve"> </w:t>
      </w:r>
      <w:r>
        <w:t xml:space="preserve">Phaeodactylum</w:t>
      </w:r>
      <w:r>
        <w:t xml:space="preserve"> </w:t>
      </w:r>
      <w:r>
        <w:t xml:space="preserve">tricornutum.</w:t>
      </w:r>
      <w:r>
        <w:t xml:space="preserve"> </w:t>
      </w:r>
      <w:r>
        <w:rPr>
          <w:i/>
          <w:iCs/>
        </w:rPr>
        <w:t xml:space="preserve">Functional Plant Biology</w:t>
      </w:r>
      <w:r>
        <w:t xml:space="preserve"> </w:t>
      </w:r>
      <w:r>
        <w:t xml:space="preserve">30, 301. doi:</w:t>
      </w:r>
      <w:hyperlink r:id="rId201">
        <w:r>
          <w:rPr>
            <w:rStyle w:val="Hyperlink"/>
          </w:rPr>
          <w:t xml:space="preserve">10.1071/FP02140</w:t>
        </w:r>
      </w:hyperlink>
      <w:r>
        <w:t xml:space="preserve">.</w:t>
      </w:r>
    </w:p>
    <w:bookmarkEnd w:id="202"/>
    <w:bookmarkStart w:id="203"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203"/>
    <w:bookmarkStart w:id="205"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204">
        <w:r>
          <w:rPr>
            <w:rStyle w:val="Hyperlink"/>
          </w:rPr>
          <w:t xml:space="preserve">10.1126/sciadv.abc2678</w:t>
        </w:r>
      </w:hyperlink>
      <w:r>
        <w:t xml:space="preserve">.</w:t>
      </w:r>
    </w:p>
    <w:bookmarkEnd w:id="205"/>
    <w:bookmarkStart w:id="207"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206">
        <w:r>
          <w:rPr>
            <w:rStyle w:val="Hyperlink"/>
          </w:rPr>
          <w:t xml:space="preserve">10.1529/biophysj.104.050237</w:t>
        </w:r>
      </w:hyperlink>
      <w:r>
        <w:t xml:space="preserve">.</w:t>
      </w:r>
    </w:p>
    <w:bookmarkEnd w:id="207"/>
    <w:bookmarkStart w:id="209"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208">
        <w:r>
          <w:rPr>
            <w:rStyle w:val="Hyperlink"/>
          </w:rPr>
          <w:t xml:space="preserve">10.1021/bi025725p</w:t>
        </w:r>
      </w:hyperlink>
      <w:r>
        <w:t xml:space="preserve">.</w:t>
      </w:r>
    </w:p>
    <w:bookmarkEnd w:id="209"/>
    <w:bookmarkStart w:id="211"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210">
        <w:r>
          <w:rPr>
            <w:rStyle w:val="Hyperlink"/>
          </w:rPr>
          <w:t xml:space="preserve">10.1017/S0025315499001526</w:t>
        </w:r>
      </w:hyperlink>
      <w:r>
        <w:t xml:space="preserve">.</w:t>
      </w:r>
    </w:p>
    <w:bookmarkEnd w:id="211"/>
    <w:bookmarkStart w:id="213"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212">
        <w:r>
          <w:rPr>
            <w:rStyle w:val="Hyperlink"/>
          </w:rPr>
          <w:t xml:space="preserve">10.1111/j.1529-8817.1995.tb02544.x</w:t>
        </w:r>
      </w:hyperlink>
      <w:r>
        <w:t xml:space="preserve">.</w:t>
      </w:r>
    </w:p>
    <w:bookmarkEnd w:id="213"/>
    <w:bookmarkStart w:id="215" w:name="ref-R-broom"/>
    <w:p>
      <w:pPr>
        <w:pStyle w:val="Bibliography"/>
      </w:pPr>
      <w:r>
        <w:t xml:space="preserve">Robinson, D., Hayes, A., and Couch, S. (2025).</w:t>
      </w:r>
      <w:r>
        <w:t xml:space="preserve"> </w:t>
      </w:r>
      <w:r>
        <w:rPr>
          <w:i/>
          <w:iCs/>
        </w:rPr>
        <w:t xml:space="preserve">Broom: Convert statistical objects into tidy tibbles</w:t>
      </w:r>
      <w:r>
        <w:t xml:space="preserve">. Available at:</w:t>
      </w:r>
      <w:r>
        <w:t xml:space="preserve"> </w:t>
      </w:r>
      <w:hyperlink r:id="rId214">
        <w:r>
          <w:rPr>
            <w:rStyle w:val="Hyperlink"/>
          </w:rPr>
          <w:t xml:space="preserve">https://broom.tidymodels.org/</w:t>
        </w:r>
      </w:hyperlink>
      <w:r>
        <w:t xml:space="preserve">.</w:t>
      </w:r>
    </w:p>
    <w:bookmarkEnd w:id="215"/>
    <w:bookmarkStart w:id="216" w:name="X263ebfb1a328694963cdbb88190dc799a9569a9"/>
    <w:p>
      <w:pPr>
        <w:pStyle w:val="Bibliography"/>
      </w:pPr>
      <w:r>
        <w:t xml:space="preserve">Roesch, A., and Schmidbauer, H. (2018).</w:t>
      </w:r>
      <w:r>
        <w:t xml:space="preserve"> </w:t>
      </w:r>
      <w:r>
        <w:rPr>
          <w:i/>
          <w:iCs/>
        </w:rPr>
        <w:t xml:space="preserve">WaveletComp</w:t>
      </w:r>
      <w:r>
        <w:rPr>
          <w:i/>
          <w:iCs/>
        </w:rPr>
        <w:t xml:space="preserve">:</w:t>
      </w:r>
      <w:r>
        <w:rPr>
          <w:i/>
          <w:iCs/>
        </w:rPr>
        <w:t xml:space="preserve"> </w:t>
      </w:r>
      <w:r>
        <w:rPr>
          <w:i/>
          <w:iCs/>
        </w:rPr>
        <w:t xml:space="preserve">Computational</w:t>
      </w:r>
      <w:r>
        <w:rPr>
          <w:i/>
          <w:iCs/>
        </w:rPr>
        <w:t xml:space="preserve"> </w:t>
      </w:r>
      <w:r>
        <w:rPr>
          <w:i/>
          <w:iCs/>
        </w:rPr>
        <w:t xml:space="preserve">wavelet analysis</w:t>
      </w:r>
      <w:r>
        <w:t xml:space="preserve">.</w:t>
      </w:r>
    </w:p>
    <w:bookmarkEnd w:id="216"/>
    <w:bookmarkStart w:id="218"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217">
        <w:r>
          <w:rPr>
            <w:rStyle w:val="Hyperlink"/>
          </w:rPr>
          <w:t xml:space="preserve">10.1016/j.febslet.2011.12.039</w:t>
        </w:r>
      </w:hyperlink>
      <w:r>
        <w:t xml:space="preserve">.</w:t>
      </w:r>
    </w:p>
    <w:bookmarkEnd w:id="218"/>
    <w:bookmarkStart w:id="220"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219">
        <w:r>
          <w:rPr>
            <w:rStyle w:val="Hyperlink"/>
          </w:rPr>
          <w:t xml:space="preserve">10.1104/pp.103.022939</w:t>
        </w:r>
      </w:hyperlink>
      <w:r>
        <w:t xml:space="preserve">.</w:t>
      </w:r>
    </w:p>
    <w:bookmarkEnd w:id="220"/>
    <w:bookmarkStart w:id="222"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221">
        <w:r>
          <w:rPr>
            <w:rStyle w:val="Hyperlink"/>
          </w:rPr>
          <w:t xml:space="preserve">10.1074/jbc.M200444200</w:t>
        </w:r>
      </w:hyperlink>
      <w:r>
        <w:t xml:space="preserve">.</w:t>
      </w:r>
    </w:p>
    <w:bookmarkEnd w:id="222"/>
    <w:bookmarkStart w:id="224"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223">
        <w:r>
          <w:rPr>
            <w:rStyle w:val="Hyperlink"/>
          </w:rPr>
          <w:t xml:space="preserve">10.7554/eLife.39233</w:t>
        </w:r>
      </w:hyperlink>
      <w:r>
        <w:t xml:space="preserve">.</w:t>
      </w:r>
    </w:p>
    <w:bookmarkEnd w:id="224"/>
    <w:bookmarkStart w:id="225"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Québec Centre for Biodiversity Science.</w:t>
      </w:r>
    </w:p>
    <w:bookmarkEnd w:id="225"/>
    <w:bookmarkStart w:id="227"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226">
        <w:r>
          <w:rPr>
            <w:rStyle w:val="Hyperlink"/>
          </w:rPr>
          <w:t xml:space="preserve">10.3389/fmars.2021.690607</w:t>
        </w:r>
      </w:hyperlink>
      <w:r>
        <w:t xml:space="preserve">.</w:t>
      </w:r>
    </w:p>
    <w:bookmarkEnd w:id="227"/>
    <w:bookmarkStart w:id="229"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228">
        <w:r>
          <w:rPr>
            <w:rStyle w:val="Hyperlink"/>
          </w:rPr>
          <w:t xml:space="preserve">10.1016/B978-0-12-819460-7.00012-8</w:t>
        </w:r>
      </w:hyperlink>
      <w:r>
        <w:t xml:space="preserve">.</w:t>
      </w:r>
    </w:p>
    <w:bookmarkEnd w:id="229"/>
    <w:bookmarkStart w:id="231"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230">
        <w:r>
          <w:rPr>
            <w:rStyle w:val="Hyperlink"/>
          </w:rPr>
          <w:t xml:space="preserve">10.1111/1462-2920.16113</w:t>
        </w:r>
      </w:hyperlink>
      <w:r>
        <w:t xml:space="preserve">.</w:t>
      </w:r>
    </w:p>
    <w:bookmarkEnd w:id="231"/>
    <w:bookmarkStart w:id="233"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232">
        <w:r>
          <w:rPr>
            <w:rStyle w:val="Hyperlink"/>
          </w:rPr>
          <w:t xml:space="preserve">10.1007/s11120-022-00991-y</w:t>
        </w:r>
      </w:hyperlink>
      <w:r>
        <w:t xml:space="preserve">.</w:t>
      </w:r>
    </w:p>
    <w:bookmarkEnd w:id="233"/>
    <w:bookmarkStart w:id="235"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234">
        <w:r>
          <w:rPr>
            <w:rStyle w:val="Hyperlink"/>
          </w:rPr>
          <w:t xml:space="preserve">https://lubridate.tidyverse.org</w:t>
        </w:r>
      </w:hyperlink>
      <w:r>
        <w:t xml:space="preserve">.</w:t>
      </w:r>
    </w:p>
    <w:bookmarkEnd w:id="235"/>
    <w:bookmarkStart w:id="237"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236">
        <w:r>
          <w:rPr>
            <w:rStyle w:val="Hyperlink"/>
          </w:rPr>
          <w:t xml:space="preserve">10.1007/s11120-021-00877-5</w:t>
        </w:r>
      </w:hyperlink>
      <w:r>
        <w:t xml:space="preserve">.</w:t>
      </w:r>
    </w:p>
    <w:bookmarkEnd w:id="237"/>
    <w:bookmarkStart w:id="238"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238"/>
    <w:bookmarkStart w:id="239" w:name="ref-vandenbrandGgh4xHacksGgplot22025"/>
    <w:p>
      <w:pPr>
        <w:pStyle w:val="Bibliography"/>
      </w:pPr>
      <w:r>
        <w:t xml:space="preserve">van den Brand, T. (2025).</w:t>
      </w:r>
      <w:r>
        <w:t xml:space="preserve"> </w:t>
      </w:r>
      <w:r>
        <w:rPr>
          <w:i/>
          <w:iCs/>
        </w:rPr>
        <w:t xml:space="preserve">Ggh4x:</w:t>
      </w:r>
      <w:r>
        <w:rPr>
          <w:i/>
          <w:iCs/>
        </w:rPr>
        <w:t xml:space="preserve"> </w:t>
      </w:r>
      <w:r>
        <w:rPr>
          <w:i/>
          <w:iCs/>
        </w:rPr>
        <w:t xml:space="preserve">Hacks</w:t>
      </w:r>
      <w:r>
        <w:rPr>
          <w:i/>
          <w:iCs/>
        </w:rPr>
        <w:t xml:space="preserve"> </w:t>
      </w:r>
      <w:r>
        <w:rPr>
          <w:i/>
          <w:iCs/>
        </w:rPr>
        <w:t xml:space="preserve">for ’Ggplot2’</w:t>
      </w:r>
      <w:r>
        <w:t xml:space="preserve">.</w:t>
      </w:r>
    </w:p>
    <w:bookmarkEnd w:id="239"/>
    <w:bookmarkStart w:id="241"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240">
        <w:r>
          <w:rPr>
            <w:rStyle w:val="Hyperlink"/>
          </w:rPr>
          <w:t xml:space="preserve">10.1111/j.1399-3054.2011.01454.x</w:t>
        </w:r>
      </w:hyperlink>
      <w:r>
        <w:t xml:space="preserve">.</w:t>
      </w:r>
    </w:p>
    <w:bookmarkEnd w:id="241"/>
    <w:bookmarkStart w:id="243"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242">
        <w:r>
          <w:rPr>
            <w:rStyle w:val="Hyperlink"/>
          </w:rPr>
          <w:t xml:space="preserve">10.1016/j.tplants.2009.01.009</w:t>
        </w:r>
      </w:hyperlink>
      <w:r>
        <w:t xml:space="preserve">.</w:t>
      </w:r>
    </w:p>
    <w:bookmarkEnd w:id="243"/>
    <w:bookmarkStart w:id="245"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244">
        <w:r>
          <w:rPr>
            <w:rStyle w:val="Hyperlink"/>
          </w:rPr>
          <w:t xml:space="preserve">10.1146/annurev-biochem-070511-100425</w:t>
        </w:r>
      </w:hyperlink>
      <w:r>
        <w:t xml:space="preserve">.</w:t>
      </w:r>
    </w:p>
    <w:bookmarkEnd w:id="245"/>
    <w:bookmarkStart w:id="246" w:name="ref-vonquillfeldt:hal-03218115"/>
    <w:p>
      <w:pPr>
        <w:pStyle w:val="Bibliography"/>
      </w:pPr>
      <w:r>
        <w:t xml:space="preserve">von Quillfeldt, C. H. (2004). The diatom fragilariopsis cylindrus and its potential as an indicator species for cold water rather than for sea ice.</w:t>
      </w:r>
      <w:r>
        <w:t xml:space="preserve"> </w:t>
      </w:r>
      <w:r>
        <w:rPr>
          <w:i/>
          <w:iCs/>
        </w:rPr>
        <w:t xml:space="preserve">Vie et Milieu / Life &amp; Environment</w:t>
      </w:r>
      <w:r>
        <w:t xml:space="preserve">, 137–143.</w:t>
      </w:r>
    </w:p>
    <w:bookmarkEnd w:id="246"/>
    <w:bookmarkStart w:id="247" w:name="ref-wickhamGgplot2ElegantGraphics2016"/>
    <w:p>
      <w:pPr>
        <w:pStyle w:val="Bibliography"/>
      </w:pPr>
      <w:r>
        <w:t xml:space="preserve">Wickham, H.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p>
    <w:bookmarkEnd w:id="247"/>
    <w:bookmarkStart w:id="249"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248">
        <w:r>
          <w:rPr>
            <w:rStyle w:val="Hyperlink"/>
          </w:rPr>
          <w:t xml:space="preserve">https://tidyverse.tidyverse.org</w:t>
        </w:r>
      </w:hyperlink>
      <w:r>
        <w:t xml:space="preserve">.</w:t>
      </w:r>
    </w:p>
    <w:bookmarkEnd w:id="249"/>
    <w:bookmarkStart w:id="251"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250">
        <w:r>
          <w:rPr>
            <w:rStyle w:val="Hyperlink"/>
          </w:rPr>
          <w:t xml:space="preserve">10.1039/C6RA25837A</w:t>
        </w:r>
      </w:hyperlink>
      <w:r>
        <w:t xml:space="preserve">.</w:t>
      </w:r>
    </w:p>
    <w:bookmarkEnd w:id="251"/>
    <w:bookmarkStart w:id="253" w:name="ref-R-mgcv"/>
    <w:p>
      <w:pPr>
        <w:pStyle w:val="Bibliography"/>
      </w:pPr>
      <w:r>
        <w:t xml:space="preserve">Wood, S. (2025).</w:t>
      </w:r>
      <w:r>
        <w:t xml:space="preserve"> </w:t>
      </w:r>
      <w:r>
        <w:rPr>
          <w:i/>
          <w:iCs/>
        </w:rPr>
        <w:t xml:space="preserve">Mgcv: Mixed GAM computation vehicle with automatic smoothness estimation</w:t>
      </w:r>
      <w:r>
        <w:t xml:space="preserve">. Available at:</w:t>
      </w:r>
      <w:r>
        <w:t xml:space="preserve"> </w:t>
      </w:r>
      <w:hyperlink r:id="rId252">
        <w:r>
          <w:rPr>
            <w:rStyle w:val="Hyperlink"/>
          </w:rPr>
          <w:t xml:space="preserve">https://CRAN.R-project.org/package=mgcv</w:t>
        </w:r>
      </w:hyperlink>
      <w:r>
        <w:t xml:space="preserve">.</w:t>
      </w:r>
    </w:p>
    <w:bookmarkEnd w:id="253"/>
    <w:bookmarkStart w:id="255" w:name="ref-woodFastStableRestricted20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3–36. doi:</w:t>
      </w:r>
      <w:hyperlink r:id="rId254">
        <w:r>
          <w:rPr>
            <w:rStyle w:val="Hyperlink"/>
          </w:rPr>
          <w:t xml:space="preserve">10.1111/j.1467-9868.2010.00749.x</w:t>
        </w:r>
      </w:hyperlink>
      <w:r>
        <w:t xml:space="preserve">.</w:t>
      </w:r>
    </w:p>
    <w:bookmarkEnd w:id="255"/>
    <w:bookmarkStart w:id="256"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256"/>
    <w:bookmarkStart w:id="258"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257">
        <w:r>
          <w:rPr>
            <w:rStyle w:val="Hyperlink"/>
          </w:rPr>
          <w:t xml:space="preserve">10.1038/ismej.2013.43</w:t>
        </w:r>
      </w:hyperlink>
      <w:r>
        <w:t xml:space="preserve">.</w:t>
      </w:r>
    </w:p>
    <w:bookmarkEnd w:id="258"/>
    <w:bookmarkStart w:id="260"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59">
        <w:r>
          <w:rPr>
            <w:rStyle w:val="Hyperlink"/>
          </w:rPr>
          <w:t xml:space="preserve">https://yihui.org/knitr/</w:t>
        </w:r>
      </w:hyperlink>
      <w:r>
        <w:t xml:space="preserve">.</w:t>
      </w:r>
    </w:p>
    <w:bookmarkEnd w:id="260"/>
    <w:bookmarkStart w:id="262"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61">
        <w:r>
          <w:rPr>
            <w:rStyle w:val="Hyperlink"/>
          </w:rPr>
          <w:t xml:space="preserve">10.3389/fmars.2018.00281</w:t>
        </w:r>
      </w:hyperlink>
      <w:r>
        <w:t xml:space="preserve">.</w:t>
      </w:r>
    </w:p>
    <w:bookmarkEnd w:id="262"/>
    <w:bookmarkStart w:id="263"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63"/>
    <w:bookmarkStart w:id="265" w:name="ref-zhangDraftGenomeSequence2021"/>
    <w:p>
      <w:pPr>
        <w:pStyle w:val="Bibliography"/>
      </w:pPr>
      <w:r>
        <w:t xml:space="preserve">Zhang, X., Cvetkovska, M., Morgan-Kiss, R., Hüner, N. P. A., and Smith, D. R. (2021). Draft genome sequence of the</w:t>
      </w:r>
      <w:r>
        <w:t xml:space="preserve"> </w:t>
      </w:r>
      <w:r>
        <w:t xml:space="preserve">Antarctic</w:t>
      </w:r>
      <w:r>
        <w:t xml:space="preserve"> </w:t>
      </w:r>
      <w:r>
        <w:t xml:space="preserve">green alga</w:t>
      </w:r>
      <w:r>
        <w:t xml:space="preserve"> </w:t>
      </w:r>
      <w:r>
        <w:rPr>
          <w:i/>
          <w:iCs/>
        </w:rPr>
        <w:t xml:space="preserve">Chlamydomonas</w:t>
      </w:r>
      <w:r>
        <w:t xml:space="preserve"> </w:t>
      </w:r>
      <w:r>
        <w:t xml:space="preserve">sp.</w:t>
      </w:r>
      <w:r>
        <w:t xml:space="preserve"> </w:t>
      </w:r>
      <w:r>
        <w:t xml:space="preserve">UWO241</w:t>
      </w:r>
      <w:r>
        <w:t xml:space="preserve">.</w:t>
      </w:r>
      <w:r>
        <w:t xml:space="preserve"> </w:t>
      </w:r>
      <w:r>
        <w:rPr>
          <w:i/>
          <w:iCs/>
        </w:rPr>
        <w:t xml:space="preserve">iScience</w:t>
      </w:r>
      <w:r>
        <w:t xml:space="preserve"> </w:t>
      </w:r>
      <w:r>
        <w:t xml:space="preserve">24, 102084. doi:</w:t>
      </w:r>
      <w:hyperlink r:id="rId264">
        <w:r>
          <w:rPr>
            <w:rStyle w:val="Hyperlink"/>
          </w:rPr>
          <w:t xml:space="preserve">10.1016/j.isci.2021.102084</w:t>
        </w:r>
      </w:hyperlink>
      <w:r>
        <w:t xml:space="preserve">.</w:t>
      </w:r>
    </w:p>
    <w:bookmarkEnd w:id="265"/>
    <w:bookmarkStart w:id="267"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66">
        <w:r>
          <w:rPr>
            <w:rStyle w:val="Hyperlink"/>
          </w:rPr>
          <w:t xml:space="preserve">10.1016/j.cub.2020.06.029</w:t>
        </w:r>
      </w:hyperlink>
      <w:r>
        <w:t xml:space="preserve">.</w:t>
      </w:r>
    </w:p>
    <w:bookmarkEnd w:id="267"/>
    <w:bookmarkStart w:id="269"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268">
        <w:r>
          <w:rPr>
            <w:rStyle w:val="Hyperlink"/>
          </w:rPr>
          <w:t xml:space="preserve">http://haozhu233.github.io/kableExtra/</w:t>
        </w:r>
      </w:hyperlink>
      <w:r>
        <w:t xml:space="preserve">.</w:t>
      </w:r>
    </w:p>
    <w:bookmarkEnd w:id="269"/>
    <w:bookmarkEnd w:id="270"/>
    <w:bookmarkEnd w:id="271"/>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64" Target="media/rId64.png" /><Relationship Type="http://schemas.openxmlformats.org/officeDocument/2006/relationships/image" Id="rId100" Target="media/rId100.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hyperlink" Id="rId268" Target="http://haozhu233.github.io/kableExtra/" TargetMode="External" /><Relationship Type="http://schemas.openxmlformats.org/officeDocument/2006/relationships/hyperlink" Id="rId252" Target="https://CRAN.R-project.org/package=mgcv" TargetMode="External" /><Relationship Type="http://schemas.openxmlformats.org/officeDocument/2006/relationships/hyperlink" Id="rId214" Target="https://broom.tidymodels.org/" TargetMode="External" /><Relationship Type="http://schemas.openxmlformats.org/officeDocument/2006/relationships/hyperlink" Id="rId145" Target="https://doi.org/10.1002/2017JC013263" TargetMode="External" /><Relationship Type="http://schemas.openxmlformats.org/officeDocument/2006/relationships/hyperlink" Id="rId184" Target="https://doi.org/10.1002/lno.10107" TargetMode="External" /><Relationship Type="http://schemas.openxmlformats.org/officeDocument/2006/relationships/hyperlink" Id="rId119" Target="https://doi.org/10.1007/978-3-030-33208-2_3" TargetMode="External" /><Relationship Type="http://schemas.openxmlformats.org/officeDocument/2006/relationships/hyperlink" Id="rId159" Target="https://doi.org/10.1007/BF00236984" TargetMode="External" /><Relationship Type="http://schemas.openxmlformats.org/officeDocument/2006/relationships/hyperlink" Id="rId133" Target="https://doi.org/10.1007/BF00239374" TargetMode="External" /><Relationship Type="http://schemas.openxmlformats.org/officeDocument/2006/relationships/hyperlink" Id="rId170" Target="https://doi.org/10.1007/s00114-014-1223-x" TargetMode="External" /><Relationship Type="http://schemas.openxmlformats.org/officeDocument/2006/relationships/hyperlink" Id="rId178" Target="https://doi.org/10.1007/s00227-003-1052-5" TargetMode="External" /><Relationship Type="http://schemas.openxmlformats.org/officeDocument/2006/relationships/hyperlink" Id="rId117"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25" Target="https://doi.org/10.1007/s11120-007-9141-9" TargetMode="External" /><Relationship Type="http://schemas.openxmlformats.org/officeDocument/2006/relationships/hyperlink" Id="rId121" Target="https://doi.org/10.1007/s11120-019-00621-0" TargetMode="External" /><Relationship Type="http://schemas.openxmlformats.org/officeDocument/2006/relationships/hyperlink" Id="rId236" Target="https://doi.org/10.1007/s11120-021-00877-5" TargetMode="External" /><Relationship Type="http://schemas.openxmlformats.org/officeDocument/2006/relationships/hyperlink" Id="rId232" Target="https://doi.org/10.1007/s11120-022-00991-y" TargetMode="External" /><Relationship Type="http://schemas.openxmlformats.org/officeDocument/2006/relationships/hyperlink" Id="rId157" Target="https://doi.org/10.1007/s11120-023-01032-y" TargetMode="External" /><Relationship Type="http://schemas.openxmlformats.org/officeDocument/2006/relationships/hyperlink" Id="rId194" Target="https://doi.org/10.1007/s11120-024-01127-0" TargetMode="External" /><Relationship Type="http://schemas.openxmlformats.org/officeDocument/2006/relationships/hyperlink" Id="rId228" Target="https://doi.org/10.1016/B978-0-12-819460-7.00012-8" TargetMode="External" /><Relationship Type="http://schemas.openxmlformats.org/officeDocument/2006/relationships/hyperlink" Id="rId164" Target="https://doi.org/10.1016/S0005-2728(98)00135-2" TargetMode="External" /><Relationship Type="http://schemas.openxmlformats.org/officeDocument/2006/relationships/hyperlink" Id="rId149" Target="https://doi.org/10.1016/j.algal.2023.103220" TargetMode="External" /><Relationship Type="http://schemas.openxmlformats.org/officeDocument/2006/relationships/hyperlink" Id="rId141" Target="https://doi.org/10.1016/j.bbabio.2008.03.007" TargetMode="External" /><Relationship Type="http://schemas.openxmlformats.org/officeDocument/2006/relationships/hyperlink" Id="rId135" Target="https://doi.org/10.1016/j.bbabio.2020.148212" TargetMode="External" /><Relationship Type="http://schemas.openxmlformats.org/officeDocument/2006/relationships/hyperlink" Id="rId109" Target="https://doi.org/10.1016/j.cryobiol.2011.08.006" TargetMode="External" /><Relationship Type="http://schemas.openxmlformats.org/officeDocument/2006/relationships/hyperlink" Id="rId266" Target="https://doi.org/10.1016/j.cub.2020.06.029" TargetMode="External" /><Relationship Type="http://schemas.openxmlformats.org/officeDocument/2006/relationships/hyperlink" Id="rId153" Target="https://doi.org/10.1016/j.febslet.2006.04.018" TargetMode="External" /><Relationship Type="http://schemas.openxmlformats.org/officeDocument/2006/relationships/hyperlink" Id="rId217" Target="https://doi.org/10.1016/j.febslet.2011.12.039" TargetMode="External" /><Relationship Type="http://schemas.openxmlformats.org/officeDocument/2006/relationships/hyperlink" Id="rId264" Target="https://doi.org/10.1016/j.isci.2021.102084" TargetMode="External" /><Relationship Type="http://schemas.openxmlformats.org/officeDocument/2006/relationships/hyperlink" Id="rId168" Target="https://doi.org/10.1016/j.pocean.2015.07.012" TargetMode="External" /><Relationship Type="http://schemas.openxmlformats.org/officeDocument/2006/relationships/hyperlink" Id="rId242" Target="https://doi.org/10.1016/j.tplants.2009.01.009" TargetMode="External" /><Relationship Type="http://schemas.openxmlformats.org/officeDocument/2006/relationships/hyperlink" Id="rId210" Target="https://doi.org/10.1017/S0025315499001526" TargetMode="External" /><Relationship Type="http://schemas.openxmlformats.org/officeDocument/2006/relationships/hyperlink" Id="rId208" Target="https://doi.org/10.1021/bi025725p" TargetMode="External" /><Relationship Type="http://schemas.openxmlformats.org/officeDocument/2006/relationships/hyperlink" Id="rId186" Target="https://doi.org/10.1021/cr0206014" TargetMode="External" /><Relationship Type="http://schemas.openxmlformats.org/officeDocument/2006/relationships/hyperlink" Id="rId127" Target="https://doi.org/10.1023/A:1016128632704" TargetMode="External" /><Relationship Type="http://schemas.openxmlformats.org/officeDocument/2006/relationships/hyperlink" Id="rId155" Target="https://doi.org/10.1034/j.1399-3054.2003.00225.x" TargetMode="External" /><Relationship Type="http://schemas.openxmlformats.org/officeDocument/2006/relationships/hyperlink" Id="rId257" Target="https://doi.org/10.1038/ismej.2013.43" TargetMode="External" /><Relationship Type="http://schemas.openxmlformats.org/officeDocument/2006/relationships/hyperlink" Id="rId180" Target="https://doi.org/10.1038/nature20803" TargetMode="External" /><Relationship Type="http://schemas.openxmlformats.org/officeDocument/2006/relationships/hyperlink" Id="rId147" Target="https://doi.org/10.1038/s41467-024-51636-8" TargetMode="External" /><Relationship Type="http://schemas.openxmlformats.org/officeDocument/2006/relationships/hyperlink" Id="rId105" Target="https://doi.org/10.1038/s41558-020-0905-y" TargetMode="External" /><Relationship Type="http://schemas.openxmlformats.org/officeDocument/2006/relationships/hyperlink" Id="rId250" Target="https://doi.org/10.1039/C6RA25837A" TargetMode="External" /><Relationship Type="http://schemas.openxmlformats.org/officeDocument/2006/relationships/hyperlink" Id="rId139" Target="https://doi.org/10.1039/D2SC00854H" TargetMode="External" /><Relationship Type="http://schemas.openxmlformats.org/officeDocument/2006/relationships/hyperlink" Id="rId201" Target="https://doi.org/10.1071/FP02140" TargetMode="External" /><Relationship Type="http://schemas.openxmlformats.org/officeDocument/2006/relationships/hyperlink" Id="rId161" Target="https://doi.org/10.1073/pnas.94.4.1579" TargetMode="External" /><Relationship Type="http://schemas.openxmlformats.org/officeDocument/2006/relationships/hyperlink" Id="rId143" Target="https://doi.org/10.1074/jbc.M112.342543" TargetMode="External" /><Relationship Type="http://schemas.openxmlformats.org/officeDocument/2006/relationships/hyperlink" Id="rId221" Target="https://doi.org/10.1074/jbc.M200444200" TargetMode="External" /><Relationship Type="http://schemas.openxmlformats.org/officeDocument/2006/relationships/hyperlink" Id="rId131" Target="https://doi.org/10.1080/10618600.2019.1629942" TargetMode="External" /><Relationship Type="http://schemas.openxmlformats.org/officeDocument/2006/relationships/hyperlink" Id="rId196" Target="https://doi.org/10.1080/15592324.2023.2184588" TargetMode="External" /><Relationship Type="http://schemas.openxmlformats.org/officeDocument/2006/relationships/hyperlink" Id="rId166" Target="https://doi.org/10.1093/jxb/erj183" TargetMode="External" /><Relationship Type="http://schemas.openxmlformats.org/officeDocument/2006/relationships/hyperlink" Id="rId219" Target="https://doi.org/10.1104/pp.103.022939" TargetMode="External" /><Relationship Type="http://schemas.openxmlformats.org/officeDocument/2006/relationships/hyperlink" Id="rId230" Target="https://doi.org/10.1111/1462-2920.16113" TargetMode="External" /><Relationship Type="http://schemas.openxmlformats.org/officeDocument/2006/relationships/hyperlink" Id="rId240" Target="https://doi.org/10.1111/j.1399-3054.2011.01454.x" TargetMode="External" /><Relationship Type="http://schemas.openxmlformats.org/officeDocument/2006/relationships/hyperlink" Id="rId254" Target="https://doi.org/10.1111/j.1467-9868.2010.00749.x" TargetMode="External" /><Relationship Type="http://schemas.openxmlformats.org/officeDocument/2006/relationships/hyperlink" Id="rId212" Target="https://doi.org/10.1111/j.1529-8817.1995.tb02544.x" TargetMode="External" /><Relationship Type="http://schemas.openxmlformats.org/officeDocument/2006/relationships/hyperlink" Id="rId188" Target="https://doi.org/10.1111/jpy.13325" TargetMode="External" /><Relationship Type="http://schemas.openxmlformats.org/officeDocument/2006/relationships/hyperlink" Id="rId199" Target="https://doi.org/10.1111/jpy.13362" TargetMode="External" /><Relationship Type="http://schemas.openxmlformats.org/officeDocument/2006/relationships/hyperlink" Id="rId123" Target="https://doi.org/10.1111/ppl.13811" TargetMode="External" /><Relationship Type="http://schemas.openxmlformats.org/officeDocument/2006/relationships/hyperlink" Id="rId204" Target="https://doi.org/10.1126/sciadv.abc2678" TargetMode="External" /><Relationship Type="http://schemas.openxmlformats.org/officeDocument/2006/relationships/hyperlink" Id="rId129" Target="https://doi.org/10.1126/science.1153213" TargetMode="External" /><Relationship Type="http://schemas.openxmlformats.org/officeDocument/2006/relationships/hyperlink" Id="rId174" Target="https://doi.org/10.1128/AEM.00478-16" TargetMode="External" /><Relationship Type="http://schemas.openxmlformats.org/officeDocument/2006/relationships/hyperlink" Id="rId244" Target="https://doi.org/10.1146/annurev-biochem-070511-100425" TargetMode="External" /><Relationship Type="http://schemas.openxmlformats.org/officeDocument/2006/relationships/hyperlink" Id="rId190" Target="https://doi.org/10.1146/annurev-marine-010419-010706" TargetMode="External" /><Relationship Type="http://schemas.openxmlformats.org/officeDocument/2006/relationships/hyperlink" Id="rId151" Target="https://doi.org/10.1525/elementa.2022.00060" TargetMode="External" /><Relationship Type="http://schemas.openxmlformats.org/officeDocument/2006/relationships/hyperlink" Id="rId206" Target="https://doi.org/10.1529/biophysj.104.050237" TargetMode="External" /><Relationship Type="http://schemas.openxmlformats.org/officeDocument/2006/relationships/hyperlink" Id="rId261" Target="https://doi.org/10.3389/fmars.2018.00281" TargetMode="External" /><Relationship Type="http://schemas.openxmlformats.org/officeDocument/2006/relationships/hyperlink" Id="rId226" Target="https://doi.org/10.3389/fmars.2021.690607" TargetMode="External" /><Relationship Type="http://schemas.openxmlformats.org/officeDocument/2006/relationships/hyperlink" Id="rId172" Target="https://doi.org/10.3389/fmicb.2019.01067" TargetMode="External" /><Relationship Type="http://schemas.openxmlformats.org/officeDocument/2006/relationships/hyperlink" Id="rId182" Target="https://doi.org/10.3389/fpls.2020.619064" TargetMode="External" /><Relationship Type="http://schemas.openxmlformats.org/officeDocument/2006/relationships/hyperlink" Id="rId176" Target="https://doi.org/10.3390/biology3010056" TargetMode="External" /><Relationship Type="http://schemas.openxmlformats.org/officeDocument/2006/relationships/hyperlink" Id="rId192" Target="https://doi.org/10.3390/math9040299" TargetMode="External" /><Relationship Type="http://schemas.openxmlformats.org/officeDocument/2006/relationships/hyperlink" Id="rId107" Target="https://doi.org/10.5194/bg-9-4553-2012" TargetMode="External" /><Relationship Type="http://schemas.openxmlformats.org/officeDocument/2006/relationships/hyperlink" Id="rId113" Target="https://doi.org/10.5281/zenodo.2593516" TargetMode="External" /><Relationship Type="http://schemas.openxmlformats.org/officeDocument/2006/relationships/hyperlink" Id="rId223" Target="https://doi.org/10.7554/eLife.39233" TargetMode="External" /><Relationship Type="http://schemas.openxmlformats.org/officeDocument/2006/relationships/hyperlink" Id="rId137" Target="https://github.com/hojsgaard/doBy" TargetMode="External" /><Relationship Type="http://schemas.openxmlformats.org/officeDocument/2006/relationships/hyperlink" Id="rId111" Target="https://googlesheets4.tidyverse.org" TargetMode="External" /><Relationship Type="http://schemas.openxmlformats.org/officeDocument/2006/relationships/hyperlink" Id="rId234" Target="https://lubridate.tidyverse.org" TargetMode="External" /><Relationship Type="http://schemas.openxmlformats.org/officeDocument/2006/relationships/hyperlink" Id="rId248" Target="https://tidyverse.tidyverse.org" TargetMode="External" /><Relationship Type="http://schemas.openxmlformats.org/officeDocument/2006/relationships/hyperlink" Id="rId259"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68" Target="http://haozhu233.github.io/kableExtra/" TargetMode="External" /><Relationship Type="http://schemas.openxmlformats.org/officeDocument/2006/relationships/hyperlink" Id="rId252" Target="https://CRAN.R-project.org/package=mgcv" TargetMode="External" /><Relationship Type="http://schemas.openxmlformats.org/officeDocument/2006/relationships/hyperlink" Id="rId214" Target="https://broom.tidymodels.org/" TargetMode="External" /><Relationship Type="http://schemas.openxmlformats.org/officeDocument/2006/relationships/hyperlink" Id="rId145" Target="https://doi.org/10.1002/2017JC013263" TargetMode="External" /><Relationship Type="http://schemas.openxmlformats.org/officeDocument/2006/relationships/hyperlink" Id="rId184" Target="https://doi.org/10.1002/lno.10107" TargetMode="External" /><Relationship Type="http://schemas.openxmlformats.org/officeDocument/2006/relationships/hyperlink" Id="rId119" Target="https://doi.org/10.1007/978-3-030-33208-2_3" TargetMode="External" /><Relationship Type="http://schemas.openxmlformats.org/officeDocument/2006/relationships/hyperlink" Id="rId159" Target="https://doi.org/10.1007/BF00236984" TargetMode="External" /><Relationship Type="http://schemas.openxmlformats.org/officeDocument/2006/relationships/hyperlink" Id="rId133" Target="https://doi.org/10.1007/BF00239374" TargetMode="External" /><Relationship Type="http://schemas.openxmlformats.org/officeDocument/2006/relationships/hyperlink" Id="rId170" Target="https://doi.org/10.1007/s00114-014-1223-x" TargetMode="External" /><Relationship Type="http://schemas.openxmlformats.org/officeDocument/2006/relationships/hyperlink" Id="rId178" Target="https://doi.org/10.1007/s00227-003-1052-5" TargetMode="External" /><Relationship Type="http://schemas.openxmlformats.org/officeDocument/2006/relationships/hyperlink" Id="rId117"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25" Target="https://doi.org/10.1007/s11120-007-9141-9" TargetMode="External" /><Relationship Type="http://schemas.openxmlformats.org/officeDocument/2006/relationships/hyperlink" Id="rId121" Target="https://doi.org/10.1007/s11120-019-00621-0" TargetMode="External" /><Relationship Type="http://schemas.openxmlformats.org/officeDocument/2006/relationships/hyperlink" Id="rId236" Target="https://doi.org/10.1007/s11120-021-00877-5" TargetMode="External" /><Relationship Type="http://schemas.openxmlformats.org/officeDocument/2006/relationships/hyperlink" Id="rId232" Target="https://doi.org/10.1007/s11120-022-00991-y" TargetMode="External" /><Relationship Type="http://schemas.openxmlformats.org/officeDocument/2006/relationships/hyperlink" Id="rId157" Target="https://doi.org/10.1007/s11120-023-01032-y" TargetMode="External" /><Relationship Type="http://schemas.openxmlformats.org/officeDocument/2006/relationships/hyperlink" Id="rId194" Target="https://doi.org/10.1007/s11120-024-01127-0" TargetMode="External" /><Relationship Type="http://schemas.openxmlformats.org/officeDocument/2006/relationships/hyperlink" Id="rId228" Target="https://doi.org/10.1016/B978-0-12-819460-7.00012-8" TargetMode="External" /><Relationship Type="http://schemas.openxmlformats.org/officeDocument/2006/relationships/hyperlink" Id="rId164" Target="https://doi.org/10.1016/S0005-2728(98)00135-2" TargetMode="External" /><Relationship Type="http://schemas.openxmlformats.org/officeDocument/2006/relationships/hyperlink" Id="rId149" Target="https://doi.org/10.1016/j.algal.2023.103220" TargetMode="External" /><Relationship Type="http://schemas.openxmlformats.org/officeDocument/2006/relationships/hyperlink" Id="rId141" Target="https://doi.org/10.1016/j.bbabio.2008.03.007" TargetMode="External" /><Relationship Type="http://schemas.openxmlformats.org/officeDocument/2006/relationships/hyperlink" Id="rId135" Target="https://doi.org/10.1016/j.bbabio.2020.148212" TargetMode="External" /><Relationship Type="http://schemas.openxmlformats.org/officeDocument/2006/relationships/hyperlink" Id="rId109" Target="https://doi.org/10.1016/j.cryobiol.2011.08.006" TargetMode="External" /><Relationship Type="http://schemas.openxmlformats.org/officeDocument/2006/relationships/hyperlink" Id="rId266" Target="https://doi.org/10.1016/j.cub.2020.06.029" TargetMode="External" /><Relationship Type="http://schemas.openxmlformats.org/officeDocument/2006/relationships/hyperlink" Id="rId153" Target="https://doi.org/10.1016/j.febslet.2006.04.018" TargetMode="External" /><Relationship Type="http://schemas.openxmlformats.org/officeDocument/2006/relationships/hyperlink" Id="rId217" Target="https://doi.org/10.1016/j.febslet.2011.12.039" TargetMode="External" /><Relationship Type="http://schemas.openxmlformats.org/officeDocument/2006/relationships/hyperlink" Id="rId264" Target="https://doi.org/10.1016/j.isci.2021.102084" TargetMode="External" /><Relationship Type="http://schemas.openxmlformats.org/officeDocument/2006/relationships/hyperlink" Id="rId168" Target="https://doi.org/10.1016/j.pocean.2015.07.012" TargetMode="External" /><Relationship Type="http://schemas.openxmlformats.org/officeDocument/2006/relationships/hyperlink" Id="rId242" Target="https://doi.org/10.1016/j.tplants.2009.01.009" TargetMode="External" /><Relationship Type="http://schemas.openxmlformats.org/officeDocument/2006/relationships/hyperlink" Id="rId210" Target="https://doi.org/10.1017/S0025315499001526" TargetMode="External" /><Relationship Type="http://schemas.openxmlformats.org/officeDocument/2006/relationships/hyperlink" Id="rId208" Target="https://doi.org/10.1021/bi025725p" TargetMode="External" /><Relationship Type="http://schemas.openxmlformats.org/officeDocument/2006/relationships/hyperlink" Id="rId186" Target="https://doi.org/10.1021/cr0206014" TargetMode="External" /><Relationship Type="http://schemas.openxmlformats.org/officeDocument/2006/relationships/hyperlink" Id="rId127" Target="https://doi.org/10.1023/A:1016128632704" TargetMode="External" /><Relationship Type="http://schemas.openxmlformats.org/officeDocument/2006/relationships/hyperlink" Id="rId155" Target="https://doi.org/10.1034/j.1399-3054.2003.00225.x" TargetMode="External" /><Relationship Type="http://schemas.openxmlformats.org/officeDocument/2006/relationships/hyperlink" Id="rId257" Target="https://doi.org/10.1038/ismej.2013.43" TargetMode="External" /><Relationship Type="http://schemas.openxmlformats.org/officeDocument/2006/relationships/hyperlink" Id="rId180" Target="https://doi.org/10.1038/nature20803" TargetMode="External" /><Relationship Type="http://schemas.openxmlformats.org/officeDocument/2006/relationships/hyperlink" Id="rId147" Target="https://doi.org/10.1038/s41467-024-51636-8" TargetMode="External" /><Relationship Type="http://schemas.openxmlformats.org/officeDocument/2006/relationships/hyperlink" Id="rId105" Target="https://doi.org/10.1038/s41558-020-0905-y" TargetMode="External" /><Relationship Type="http://schemas.openxmlformats.org/officeDocument/2006/relationships/hyperlink" Id="rId250" Target="https://doi.org/10.1039/C6RA25837A" TargetMode="External" /><Relationship Type="http://schemas.openxmlformats.org/officeDocument/2006/relationships/hyperlink" Id="rId139" Target="https://doi.org/10.1039/D2SC00854H" TargetMode="External" /><Relationship Type="http://schemas.openxmlformats.org/officeDocument/2006/relationships/hyperlink" Id="rId201" Target="https://doi.org/10.1071/FP02140" TargetMode="External" /><Relationship Type="http://schemas.openxmlformats.org/officeDocument/2006/relationships/hyperlink" Id="rId161" Target="https://doi.org/10.1073/pnas.94.4.1579" TargetMode="External" /><Relationship Type="http://schemas.openxmlformats.org/officeDocument/2006/relationships/hyperlink" Id="rId143" Target="https://doi.org/10.1074/jbc.M112.342543" TargetMode="External" /><Relationship Type="http://schemas.openxmlformats.org/officeDocument/2006/relationships/hyperlink" Id="rId221" Target="https://doi.org/10.1074/jbc.M200444200" TargetMode="External" /><Relationship Type="http://schemas.openxmlformats.org/officeDocument/2006/relationships/hyperlink" Id="rId131" Target="https://doi.org/10.1080/10618600.2019.1629942" TargetMode="External" /><Relationship Type="http://schemas.openxmlformats.org/officeDocument/2006/relationships/hyperlink" Id="rId196" Target="https://doi.org/10.1080/15592324.2023.2184588" TargetMode="External" /><Relationship Type="http://schemas.openxmlformats.org/officeDocument/2006/relationships/hyperlink" Id="rId166" Target="https://doi.org/10.1093/jxb/erj183" TargetMode="External" /><Relationship Type="http://schemas.openxmlformats.org/officeDocument/2006/relationships/hyperlink" Id="rId219" Target="https://doi.org/10.1104/pp.103.022939" TargetMode="External" /><Relationship Type="http://schemas.openxmlformats.org/officeDocument/2006/relationships/hyperlink" Id="rId230" Target="https://doi.org/10.1111/1462-2920.16113" TargetMode="External" /><Relationship Type="http://schemas.openxmlformats.org/officeDocument/2006/relationships/hyperlink" Id="rId240" Target="https://doi.org/10.1111/j.1399-3054.2011.01454.x" TargetMode="External" /><Relationship Type="http://schemas.openxmlformats.org/officeDocument/2006/relationships/hyperlink" Id="rId254" Target="https://doi.org/10.1111/j.1467-9868.2010.00749.x" TargetMode="External" /><Relationship Type="http://schemas.openxmlformats.org/officeDocument/2006/relationships/hyperlink" Id="rId212" Target="https://doi.org/10.1111/j.1529-8817.1995.tb02544.x" TargetMode="External" /><Relationship Type="http://schemas.openxmlformats.org/officeDocument/2006/relationships/hyperlink" Id="rId188" Target="https://doi.org/10.1111/jpy.13325" TargetMode="External" /><Relationship Type="http://schemas.openxmlformats.org/officeDocument/2006/relationships/hyperlink" Id="rId199" Target="https://doi.org/10.1111/jpy.13362" TargetMode="External" /><Relationship Type="http://schemas.openxmlformats.org/officeDocument/2006/relationships/hyperlink" Id="rId123" Target="https://doi.org/10.1111/ppl.13811" TargetMode="External" /><Relationship Type="http://schemas.openxmlformats.org/officeDocument/2006/relationships/hyperlink" Id="rId204" Target="https://doi.org/10.1126/sciadv.abc2678" TargetMode="External" /><Relationship Type="http://schemas.openxmlformats.org/officeDocument/2006/relationships/hyperlink" Id="rId129" Target="https://doi.org/10.1126/science.1153213" TargetMode="External" /><Relationship Type="http://schemas.openxmlformats.org/officeDocument/2006/relationships/hyperlink" Id="rId174" Target="https://doi.org/10.1128/AEM.00478-16" TargetMode="External" /><Relationship Type="http://schemas.openxmlformats.org/officeDocument/2006/relationships/hyperlink" Id="rId244" Target="https://doi.org/10.1146/annurev-biochem-070511-100425" TargetMode="External" /><Relationship Type="http://schemas.openxmlformats.org/officeDocument/2006/relationships/hyperlink" Id="rId190" Target="https://doi.org/10.1146/annurev-marine-010419-010706" TargetMode="External" /><Relationship Type="http://schemas.openxmlformats.org/officeDocument/2006/relationships/hyperlink" Id="rId151" Target="https://doi.org/10.1525/elementa.2022.00060" TargetMode="External" /><Relationship Type="http://schemas.openxmlformats.org/officeDocument/2006/relationships/hyperlink" Id="rId206" Target="https://doi.org/10.1529/biophysj.104.050237" TargetMode="External" /><Relationship Type="http://schemas.openxmlformats.org/officeDocument/2006/relationships/hyperlink" Id="rId261" Target="https://doi.org/10.3389/fmars.2018.00281" TargetMode="External" /><Relationship Type="http://schemas.openxmlformats.org/officeDocument/2006/relationships/hyperlink" Id="rId226" Target="https://doi.org/10.3389/fmars.2021.690607" TargetMode="External" /><Relationship Type="http://schemas.openxmlformats.org/officeDocument/2006/relationships/hyperlink" Id="rId172" Target="https://doi.org/10.3389/fmicb.2019.01067" TargetMode="External" /><Relationship Type="http://schemas.openxmlformats.org/officeDocument/2006/relationships/hyperlink" Id="rId182" Target="https://doi.org/10.3389/fpls.2020.619064" TargetMode="External" /><Relationship Type="http://schemas.openxmlformats.org/officeDocument/2006/relationships/hyperlink" Id="rId176" Target="https://doi.org/10.3390/biology3010056" TargetMode="External" /><Relationship Type="http://schemas.openxmlformats.org/officeDocument/2006/relationships/hyperlink" Id="rId192" Target="https://doi.org/10.3390/math9040299" TargetMode="External" /><Relationship Type="http://schemas.openxmlformats.org/officeDocument/2006/relationships/hyperlink" Id="rId107" Target="https://doi.org/10.5194/bg-9-4553-2012" TargetMode="External" /><Relationship Type="http://schemas.openxmlformats.org/officeDocument/2006/relationships/hyperlink" Id="rId113" Target="https://doi.org/10.5281/zenodo.2593516" TargetMode="External" /><Relationship Type="http://schemas.openxmlformats.org/officeDocument/2006/relationships/hyperlink" Id="rId223" Target="https://doi.org/10.7554/eLife.39233" TargetMode="External" /><Relationship Type="http://schemas.openxmlformats.org/officeDocument/2006/relationships/hyperlink" Id="rId137" Target="https://github.com/hojsgaard/doBy" TargetMode="External" /><Relationship Type="http://schemas.openxmlformats.org/officeDocument/2006/relationships/hyperlink" Id="rId111" Target="https://googlesheets4.tidyverse.org" TargetMode="External" /><Relationship Type="http://schemas.openxmlformats.org/officeDocument/2006/relationships/hyperlink" Id="rId234" Target="https://lubridate.tidyverse.org" TargetMode="External" /><Relationship Type="http://schemas.openxmlformats.org/officeDocument/2006/relationships/hyperlink" Id="rId248" Target="https://tidyverse.tidyverse.org" TargetMode="External" /><Relationship Type="http://schemas.openxmlformats.org/officeDocument/2006/relationships/hyperlink" Id="rId259"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Mackenzie Poirier3, Natasha M. Ryan1, Pomona Osmers3, Arthur Plassart2, Sébastien Guérin2, Marcel Babin2, Maximilian Berthold1, Mireille Savoie1, Marina Cvetkovska3, and Douglas A. Campbell1</dc:creator>
  <cp:keywords/>
  <dcterms:created xsi:type="dcterms:W3CDTF">2025-12-19T18:17:50Z</dcterms:created>
  <dcterms:modified xsi:type="dcterms:W3CDTF">2025-12-19T18:17:50Z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sequential arrivals of photons at Photosystem II complexes are widely spaced in time. We hypothesized that maintaining photosynthesis under such low light involves suppression of energetically wasteful photochemical ‘misses’ 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Photosystem II photochemistry across the Photosystem II populations in diatoms and green algae, in response to changing measurement temperatures and a range of extremely low light, emulated by increasing spacing of photon deliveries. Prolonged synchronous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low light limitations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2025-12-19</vt:lpwstr>
  </property>
  <property fmtid="{D5CDD505-2E9C-101B-9397-08002B2CF9AE}" pid="8" name="editor_options">
    <vt:lpwstr/>
  </property>
  <property fmtid="{D5CDD505-2E9C-101B-9397-08002B2CF9AE}" pid="9" name="output">
    <vt:lpwstr/>
  </property>
</Properties>
</file>