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0.png" ContentType="image/png"/>
  <Override PartName="/word/media/rId47.png" ContentType="image/png"/>
  <Override PartName="/word/media/rId50.png" ContentType="image/png"/>
  <Override PartName="/word/media/rId43.png" ContentType="image/png"/>
  <Override PartName="/word/media/rId2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in</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2025-03-27</w:t>
      </w:r>
    </w:p>
    <w:p>
      <w:pPr>
        <w:pStyle w:val="AbstractTitle"/>
      </w:pPr>
      <w:r>
        <w:t xml:space="preserve">Abstract</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’misses’in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rPr>
          <w:rStyle w:val="SectionNumber"/>
        </w:rPr>
        <w:t xml:space="preserve">1</w:t>
      </w:r>
      <w:r>
        <w:tab/>
      </w:r>
      <w:r>
        <w:t xml:space="preserve">To Do</w:t>
      </w:r>
    </w:p>
    <w:p>
      <w:pPr>
        <w:pStyle w:val="FirstParagraph"/>
      </w:pPr>
      <w:r>
        <w:t xml:space="preserve">Fix R package citation bibtex</w:t>
      </w:r>
    </w:p>
    <w:p>
      <w:pPr>
        <w:pStyle w:val="BodyText"/>
      </w:pPr>
      <w:r>
        <w:t xml:space="preserve">Fix figure &amp; table citation issue</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with diverse evolutionary histories and ecologies</w:t>
      </w:r>
      <w:r>
        <w:t xml:space="preserve"> </w:t>
      </w:r>
      <w:r>
        <w:t xml:space="preserve">(Pierella Karlusich et al., 2020)</w:t>
      </w:r>
      <w:r>
        <w:t xml:space="preserve">, which share photolithotrophic growth, harnessing light energy to reduce and assimilate inorganic carbon, nitrogen, phosphorus, sulphur, and other essential micronutrients</w:t>
      </w:r>
      <w:r>
        <w:t xml:space="preserve"> </w:t>
      </w:r>
      <w:r>
        <w:t xml:space="preserve">(Raven et al., 2000)</w:t>
      </w:r>
      <w:r>
        <w:t xml:space="preserve">. Photosynthetically Active Radiation (PAR), however, decreases with depth, as the light passing through the water column is scattered and absorbed</w:t>
      </w:r>
      <w:r>
        <w:t xml:space="preserve"> </w:t>
      </w:r>
      <w:r>
        <w:t xml:space="preserve">(Kirk, 2011)</w:t>
      </w:r>
      <w:r>
        <w:t xml:space="preserve">. Therefore, with photons as a sole net energy input, phytoplankton growth is constrained to the photic zone, the region of water receiving sufficient light for photosynthesis, operationally defined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seas, presenting unique challenges for phytoplankton growth</w:t>
      </w:r>
      <w:r>
        <w:t xml:space="preserve"> </w:t>
      </w:r>
      <w:r>
        <w:t xml:space="preserve">Hoppe et al. (2024)</w:t>
      </w:r>
      <w:r>
        <w:t xml:space="preserve">, when seasonally varying low solar angle, sea ice, and snow cover, limit the light penetrating the water</w:t>
      </w:r>
      <w:r>
        <w:t xml:space="preserve"> </w:t>
      </w:r>
      <w:r>
        <w:t xml:space="preserve">Hancke et al. (2018)</w:t>
      </w:r>
      <w:r>
        <w:t xml:space="preserve">.</w:t>
      </w:r>
    </w:p>
    <w:p>
      <w:pPr>
        <w:pStyle w:val="BodyText"/>
      </w:pPr>
      <w:r>
        <w:t xml:space="preserve">In 1995, the lower limit of the photic zone was reconsidered as benthic microalgae in the Antarctic were reported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w:t>
      </w:r>
      <w:r>
        <w:t xml:space="preserve">. Some polar psychrophile phytoplankton further demonstrate slow, but ecologically significant, productivity in the winter through photosynthesis at even lower low light levels, below 0.15 µmol photons m</w:t>
      </w:r>
      <w:r>
        <w:rPr>
          <w:vertAlign w:val="superscript"/>
        </w:rPr>
        <w:t xml:space="preserve">-2</w:t>
      </w:r>
      <w:r>
        <w:t xml:space="preserve"> </w:t>
      </w:r>
      <w:r>
        <w:t xml:space="preserve">s</w:t>
      </w:r>
      <w:r>
        <w:rPr>
          <w:vertAlign w:val="superscript"/>
        </w:rPr>
        <w:t xml:space="preserve">-1</w:t>
      </w:r>
      <w:r>
        <w:t xml:space="preserve"> </w:t>
      </w:r>
      <w:r>
        <w:t xml:space="preserve">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 the ice underscores the ability of psychrophilic phytoplankton to maintain functional photosystems throughout the polar night</w:t>
      </w:r>
      <w:r>
        <w:t xml:space="preserve"> </w:t>
      </w:r>
      <w:r>
        <w:t xml:space="preserve">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t xml:space="preserve"> </w:t>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Polar microbes use cellular-compatible solutes, including sugars, polyols, amino acids, betaine, and DMSP, which reduce intracellular freezing points and maintain enzyme hydration spheres, stabilizing catalytic activity</w:t>
      </w:r>
      <w:r>
        <w:t xml:space="preserve"> </w:t>
      </w:r>
      <w:r>
        <w:t xml:space="preserve">(Lyon and Mock, 2014)</w:t>
      </w:r>
      <w:r>
        <w:t xml:space="preserve">. Additionally, they exhibit high levels of polyunsaturated fatty acids (PUFAs) in their lipid membranes</w:t>
      </w:r>
      <w:r>
        <w:t xml:space="preserve"> </w:t>
      </w:r>
      <w:r>
        <w:t xml:space="preserve">Cvetkovska et al. (2022)</w:t>
      </w:r>
      <w:r>
        <w:t xml:space="preserve"> </w:t>
      </w:r>
      <w:r>
        <w:t xml:space="preserve">contributing to maintainance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w:t>
      </w:r>
      <w:r>
        <w:t xml:space="preserve"> </w:t>
      </w:r>
      <w:r>
        <w:t xml:space="preserve">(Kirk, 2011)</w:t>
      </w:r>
      <w:r>
        <w:t xml:space="preserve">, composed of a Chl a heterodimer</w:t>
      </w:r>
      <w:r>
        <w:t xml:space="preserve"> </w:t>
      </w:r>
      <w:r>
        <w:t xml:space="preserve">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reduction potential, allowing transfer of an electron to an initial pheophytin (Phe) acceptor molecule, thereby photoxidizing to P</w:t>
      </w:r>
      <w:r>
        <w:rPr>
          <w:vertAlign w:val="subscript"/>
        </w:rPr>
        <w:t xml:space="preserve">680</w:t>
      </w:r>
      <w:r>
        <w:t xml:space="preserve">+</w:t>
      </w:r>
      <w:r>
        <w:t xml:space="preserve"> </w:t>
      </w:r>
      <w:r>
        <w:t xml:space="preserve">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returns to its ground state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Han et al. (2012)</w:t>
      </w:r>
      <w:r>
        <w:t xml:space="preserve">, which are one category of photochemical</w:t>
      </w:r>
      <w:r>
        <w:t xml:space="preserve"> </w:t>
      </w:r>
      <w:r>
        <w:t xml:space="preserve">‘</w:t>
      </w:r>
      <w:r>
        <w:t xml:space="preserve">miss</w:t>
      </w:r>
      <w:r>
        <w:t xml:space="preserve">’</w:t>
      </w:r>
      <w:r>
        <w:t xml:space="preserve"> </w:t>
      </w:r>
      <w:r>
        <w:t xml:space="preserve">Han et al. (2022)</w:t>
      </w:r>
      <w:r>
        <w:t xml:space="preserve">, a futile cycle of photochemistry</w:t>
      </w:r>
      <w:r>
        <w:t xml:space="preserve"> </w:t>
      </w:r>
      <w:r>
        <w:t xml:space="preserve">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w:t>
      </w:r>
      <w:r>
        <w:t xml:space="preserve"> </w:t>
      </w:r>
      <w:r>
        <w:t xml:space="preserve">(Rappaport et al., 2005)</w:t>
      </w:r>
      <w:r>
        <w:t xml:space="preserve">. Conversely,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recombinations, the probabilities of recombinations vary with temperature,</w:t>
      </w:r>
      <w:r>
        <w:t xml:space="preserve"> </w:t>
      </w:r>
      <w:r>
        <w:t xml:space="preserve">Han et al. (2022)</w:t>
      </w:r>
      <w:r>
        <w:t xml:space="preserve">. Both plants and cyanobacteria modulate the potentials of electron transfer intermediates, changing the probabilities and temperature dependencies of recombinations</w:t>
      </w:r>
      <w:r>
        <w:t xml:space="preserve"> </w:t>
      </w:r>
      <w:r>
        <w:t xml:space="preserve">Ivanov et al. (2003)</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Han et al. (2012)</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increasingly oxidized states of the Mn cluster, known as S-States</w:t>
      </w:r>
      <w:r>
        <w:t xml:space="preserve"> </w:t>
      </w:r>
      <w:r>
        <w:t xml:space="preserve">(Zaharieva and Dau, 2019)</w:t>
      </w:r>
      <w:r>
        <w:t xml:space="preserve">, denoted , from most reduced to most oxidized, as S0, S1, S2, and S3, followed by a transient S4 state, which rapidly decays to S0. Once the Mn cluster has progessively lost four electrons, the Mn cluster oxidizes two water molecules to one molecule of O</w:t>
      </w:r>
      <w:r>
        <w:rPr>
          <w:vertAlign w:val="subscript"/>
        </w:rPr>
        <w:t xml:space="preserve">2</w:t>
      </w:r>
      <w:r>
        <w:t xml:space="preserve">. Therefore, a complete water oxidation cycle during oxygenic photosynthesis requires the sequential absorption of four photons by a PSII, with the progressive accumulation of four oxidizing equivalents in the OEC</w:t>
      </w:r>
      <w:r>
        <w:t xml:space="preserve"> </w:t>
      </w:r>
      <w:r>
        <w:t xml:space="preserve">Zaharieva and Dau (2019)</w:t>
      </w:r>
      <w:r>
        <w:t xml:space="preserve">.</w:t>
      </w:r>
    </w:p>
    <w:p>
      <w:pPr>
        <w:pStyle w:val="BodyText"/>
      </w:pPr>
      <w:r>
        <w:t xml:space="preserve">Under light limitation, excitations of P</w:t>
      </w:r>
      <w:r>
        <w:rPr>
          <w:vertAlign w:val="subscript"/>
        </w:rPr>
        <w:t xml:space="preserve">680</w:t>
      </w:r>
      <w:r>
        <w:t xml:space="preserve"> </w:t>
      </w:r>
      <w:r>
        <w:t xml:space="preserve">are widely spaced in time, so electron transfer intermediates must persist for longer periods of time, elevating the probabilities of energetically wasteful recombination reactions, representing a step backward in the S-State cycle</w:t>
      </w:r>
      <w:r>
        <w:t xml:space="preserve"> </w:t>
      </w:r>
      <w:r>
        <w:t xml:space="preserve">Han et al. (2008)</w:t>
      </w:r>
      <w:r>
        <w:t xml:space="preserve">. Stable and progressive S-State cycling under low light, in contrast, sustains electron flow for ATP and NADPH production, while minimizing risk of low-light photodamage to PSII</w:t>
      </w:r>
      <w:r>
        <w:t xml:space="preserve"> </w:t>
      </w:r>
      <w:r>
        <w:t xml:space="preserve">Keren et al. (1997)</w:t>
      </w:r>
      <w:r>
        <w:t xml:space="preserve">.</w:t>
      </w:r>
    </w:p>
    <w:p>
      <w:pPr>
        <w:pStyle w:val="BodyText"/>
      </w:pPr>
      <w:r>
        <w:t xml:space="preserve">We therefore evaluated whether psychrophilic polar diatoms and green algae maintain stable S-State cycling, and thus productive electron transport, under extremely low light and low temperatures. S-State cycling in a phytoplankton sample can be tracked by the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S-State cycling sustained over more flash cycles indicates fewer misses, and thus more efficient sustained photosynthetic energy conversion.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35" w:name="materials-and-methods"/>
    <w:p>
      <w:pPr>
        <w:pStyle w:val="Heading1"/>
      </w:pPr>
      <w:r>
        <w:t xml:space="preserve">Materials and methods</w:t>
      </w:r>
    </w:p>
    <w:bookmarkStart w:id="23" w:name="study-strains-and-culturing-conditions"/>
    <w:p>
      <w:pPr>
        <w:pStyle w:val="Heading2"/>
      </w:pPr>
      <w:r>
        <w:rPr>
          <w:rStyle w:val="SectionNumber"/>
        </w:rPr>
        <w:t xml:space="preserve">1.1</w:t>
      </w:r>
      <w:r>
        <w:tab/>
      </w: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 @ref(tab:taxa_cultures).</w:t>
      </w:r>
    </w:p>
    <w:p>
      <w:pPr>
        <w:pStyle w:val="BodyText"/>
      </w:pPr>
      <w:r>
        <w:t xml:space="preserve">(#tab:taxa_cultures)(#tab:taxa_cultures)Study taxa and culture growth conditions.</w:t>
      </w:r>
    </w:p>
    <w:p>
      <w:pPr>
        <w:pStyle w:val="BodyText"/>
      </w:pPr>
      <w:r>
        <w:t xml:space="preserve">Taxa</w:t>
      </w:r>
    </w:p>
    <w:p>
      <w:pPr>
        <w:pStyle w:val="BodyText"/>
      </w:pPr>
      <w:r>
        <w:t xml:space="preserve">Origin</w:t>
      </w:r>
    </w:p>
    <w:p>
      <w:pPr>
        <w:pStyle w:val="BodyText"/>
      </w:pPr>
      <w:r>
        <w:t xml:space="preserve">Growth °C</w:t>
      </w:r>
    </w:p>
    <w:p>
      <w:pPr>
        <w:pStyle w:val="BodyText"/>
      </w:pPr>
      <w:r>
        <w:t xml:space="preserve">PAR (µE)</w:t>
      </w:r>
    </w:p>
    <w:p>
      <w:pPr>
        <w:pStyle w:val="BodyText"/>
      </w:pPr>
      <w:r>
        <w:t xml:space="preserve">Photoperiod (h)</w:t>
      </w:r>
    </w:p>
    <w:p>
      <w:pPr>
        <w:pStyle w:val="BodyText"/>
      </w:pPr>
      <w:r>
        <w:t xml:space="preserve">Media</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70</w:t>
      </w:r>
    </w:p>
    <w:p>
      <w:pPr>
        <w:pStyle w:val="BodyText"/>
      </w:pPr>
      <w:r>
        <w:t xml:space="preserve">12</w:t>
      </w:r>
    </w:p>
    <w:p>
      <w:pPr>
        <w:pStyle w:val="BodyText"/>
      </w:pPr>
      <w:r>
        <w:t xml:space="preserve">F2</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F2</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Chlamydomonas reinhardtii</w:t>
      </w:r>
    </w:p>
    <w:p>
      <w:pPr>
        <w:pStyle w:val="BodyText"/>
      </w:pPr>
      <w:r>
        <w:t xml:space="preserve">Temperate</w:t>
      </w:r>
    </w:p>
    <w:p>
      <w:pPr>
        <w:pStyle w:val="BodyText"/>
      </w:pPr>
      <w:r>
        <w:t xml:space="preserve">24</w:t>
      </w:r>
    </w:p>
    <w:p>
      <w:pPr>
        <w:pStyle w:val="BodyText"/>
      </w:pPr>
      <w:r>
        <w:t xml:space="preserve">70</w:t>
      </w:r>
    </w:p>
    <w:p>
      <w:pPr>
        <w:pStyle w:val="BodyText"/>
      </w:pPr>
      <w:r>
        <w:t xml:space="preserve">24</w:t>
      </w:r>
    </w:p>
    <w:p>
      <w:pPr>
        <w:pStyle w:val="BodyText"/>
      </w:pPr>
      <w:r>
        <w:t xml:space="preserve">BBM</w:t>
      </w:r>
    </w:p>
    <w:p>
      <w:pPr>
        <w:pStyle w:val="BodyText"/>
      </w:pPr>
      <w:r>
        <w:t xml:space="preserve">Fragilariopsis cylindrus</w:t>
      </w:r>
    </w:p>
    <w:p>
      <w:pPr>
        <w:pStyle w:val="BodyText"/>
      </w:pPr>
      <w:r>
        <w:t xml:space="preserve">Polar</w:t>
      </w:r>
    </w:p>
    <w:p>
      <w:pPr>
        <w:pStyle w:val="BodyText"/>
      </w:pPr>
      <w:r>
        <w:t xml:space="preserve">0</w:t>
      </w:r>
    </w:p>
    <w:p>
      <w:pPr>
        <w:pStyle w:val="BodyText"/>
      </w:pPr>
      <w:r>
        <w:t xml:space="preserve">10</w:t>
      </w:r>
    </w:p>
    <w:p>
      <w:pPr>
        <w:pStyle w:val="BodyText"/>
      </w:pPr>
      <w:r>
        <w:t xml:space="preserve">24</w:t>
      </w:r>
    </w:p>
    <w:p>
      <w:pPr>
        <w:pStyle w:val="BodyText"/>
      </w:pPr>
      <w:r>
        <w:t xml:space="preserve">F2</w:t>
      </w:r>
    </w:p>
    <w:p>
      <w:pPr>
        <w:pStyle w:val="BodyText"/>
      </w:pPr>
      <w:r>
        <w:t xml:space="preserve">Fragilariopsis cylindrus</w:t>
      </w:r>
    </w:p>
    <w:p>
      <w:pPr>
        <w:pStyle w:val="BodyText"/>
      </w:pPr>
      <w:r>
        <w:t xml:space="preserve">Polar</w:t>
      </w:r>
    </w:p>
    <w:p>
      <w:pPr>
        <w:pStyle w:val="BodyText"/>
      </w:pPr>
      <w:r>
        <w:t xml:space="preserve">6</w:t>
      </w:r>
    </w:p>
    <w:p>
      <w:pPr>
        <w:pStyle w:val="BodyText"/>
      </w:pPr>
      <w:r>
        <w:t xml:space="preserve">10</w:t>
      </w:r>
    </w:p>
    <w:p>
      <w:pPr>
        <w:pStyle w:val="BodyText"/>
      </w:pPr>
      <w:r>
        <w:t xml:space="preserve">24</w:t>
      </w:r>
    </w:p>
    <w:p>
      <w:pPr>
        <w:pStyle w:val="BodyText"/>
      </w:pPr>
      <w:r>
        <w:t xml:space="preserve">F2</w:t>
      </w:r>
    </w:p>
    <w:p>
      <w:pPr>
        <w:pStyle w:val="BodyText"/>
      </w:pPr>
      <w:r>
        <w:t xml:space="preserve">Chlamydomonas priscuii</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Chlamydomonas ICEMDV</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 malina</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rPr>
          <w:i/>
          <w:iCs/>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Cefarelli et al. (2010)</w:t>
      </w:r>
      <w:r>
        <w:t xml:space="preserve">, and is as a keystone species for polar ecosystems</w:t>
      </w:r>
      <w:r>
        <w:t xml:space="preserve"> </w:t>
      </w:r>
      <w:r>
        <w:t xml:space="preserve">Kang and Fryxell (1992)</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small (2.5-15 μm) centric diatom found worldwide in diverse freshwater, coastal, brackish, and marine habitats</w:t>
      </w:r>
      <w:r>
        <w:t xml:space="preserve"> </w:t>
      </w:r>
      <w:r>
        <w:t xml:space="preserve">(Poulsen and Kröger, 2023)</w:t>
      </w:r>
      <w:r>
        <w:t xml:space="preserve">.</w:t>
      </w:r>
      <w:r>
        <w:t xml:space="preserve"> </w:t>
      </w:r>
      <w:r>
        <w:rPr>
          <w:i/>
          <w:iCs/>
        </w:rPr>
        <w:t xml:space="preserve">Thalassiosira pseudonana</w:t>
      </w:r>
      <w:r>
        <w:t xml:space="preserve"> </w:t>
      </w:r>
      <w:r>
        <w:t xml:space="preserve">can tolerate a range of salinities and temperatures (4–25°C), contributing to its use as a model diatom species</w:t>
      </w:r>
      <w:r>
        <w:t xml:space="preserve"> </w:t>
      </w:r>
      <w:r>
        <w:t xml:space="preserve">(Poulsen and Kröger, 2023)</w:t>
      </w:r>
      <w:r>
        <w:t xml:space="preserve">.</w:t>
      </w:r>
      <w:r>
        <w:t xml:space="preserve"> </w:t>
      </w:r>
      <w:r>
        <w:rPr>
          <w:i/>
          <w:iCs/>
        </w:rPr>
        <w:t xml:space="preserve">Chlamydomonas</w:t>
      </w:r>
      <w:r>
        <w:t xml:space="preserve"> </w:t>
      </w:r>
      <w:r>
        <w:t xml:space="preserve">ICEMDV and</w:t>
      </w:r>
      <w:r>
        <w:t xml:space="preserve"> </w:t>
      </w:r>
      <w:r>
        <w:rPr>
          <w:i/>
          <w:iCs/>
        </w:rPr>
        <w:t xml:space="preserve">Chlamydomonas priscuii</w:t>
      </w:r>
      <w:r>
        <w:t xml:space="preserve"> </w:t>
      </w:r>
      <w:r>
        <w:t xml:space="preserve">are halotolerant algae isolated from the perennially ice-covered hypersaline Lake Bonney, in McMurdo Dry Valleys, Antarctica</w:t>
      </w:r>
      <w:r>
        <w:t xml:space="preserve"> </w:t>
      </w:r>
      <w:r>
        <w:t xml:space="preserve">Stahl-Rommel et al. (2022)</w:t>
      </w:r>
      <w:r>
        <w:t xml:space="preserve">. With 15 to 20 μm biflagellate cells,</w:t>
      </w:r>
      <w:r>
        <w:t xml:space="preserve"> </w:t>
      </w:r>
      <w:r>
        <w:rPr>
          <w:i/>
          <w:iCs/>
        </w:rPr>
        <w:t xml:space="preserve">Chlamydomonas</w:t>
      </w:r>
      <w:r>
        <w:t xml:space="preserve"> </w:t>
      </w:r>
      <w:r>
        <w:t xml:space="preserve">ICEMDV dominates the shallow photic zone, where it experiences relatively higher irradiance, extreme nutrient limitation, and lower salinity</w:t>
      </w:r>
      <w:r>
        <w:t xml:space="preserve"> </w:t>
      </w:r>
      <w:r>
        <w:t xml:space="preserve">Li et al. (2016)</w:t>
      </w:r>
      <w:r>
        <w:t xml:space="preserve">. The smaller</w:t>
      </w:r>
      <w:r>
        <w:t xml:space="preserve"> </w:t>
      </w:r>
      <w:r>
        <w:rPr>
          <w:i/>
          <w:iCs/>
        </w:rPr>
        <w:t xml:space="preserve">Chlamydomonas priscuii</w:t>
      </w:r>
      <w:r>
        <w:t xml:space="preserve"> </w:t>
      </w:r>
      <w:r>
        <w:t xml:space="preserve">dominates the deep photic zone, characterized by permanent low temperatures, low irradiance, and high salinity</w:t>
      </w:r>
      <w:r>
        <w:t xml:space="preserve"> </w:t>
      </w:r>
      <w:r>
        <w:t xml:space="preserve">Hüner et al. (2023)</w:t>
      </w:r>
      <w:r>
        <w:t xml:space="preserve">.</w:t>
      </w:r>
      <w:r>
        <w:t xml:space="preserve"> </w:t>
      </w:r>
      <w:r>
        <w:rPr>
          <w:i/>
          <w:iCs/>
        </w:rPr>
        <w:t xml:space="preserve">Chlamydomonas malina</w:t>
      </w:r>
      <w:r>
        <w:t xml:space="preserve"> </w:t>
      </w:r>
      <w:r>
        <w:t xml:space="preserve">is a marine microalga isolated from the Arctic Ocean Beaufort Sea, around 10 μm in length and 5 μm in width, growing optimally at 4°C</w:t>
      </w:r>
      <w:r>
        <w:t xml:space="preserve"> </w:t>
      </w:r>
      <w:r>
        <w:t xml:space="preserve">Morales-Sánchez et al. (2020)</w:t>
      </w:r>
      <w:r>
        <w:t xml:space="preserve">. The temperate</w:t>
      </w:r>
      <w:r>
        <w:t xml:space="preserve"> </w:t>
      </w:r>
      <w:r>
        <w:rPr>
          <w:i/>
          <w:iCs/>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Xie et al. (2013)</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Leyva et al. (2014)</w:t>
      </w:r>
      <w:r>
        <w:t xml:space="preserve">.</w:t>
      </w:r>
    </w:p>
    <w:p>
      <w:pPr>
        <w:pStyle w:val="BodyText"/>
      </w:pPr>
      <w:r>
        <w:t xml:space="preserve">Cultures of</w:t>
      </w:r>
      <w:r>
        <w:t xml:space="preserve"> </w:t>
      </w: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prepared by Naaman Omar (Mount Allison University);</w:t>
      </w:r>
      <w:r>
        <w:t xml:space="preserve"> </w:t>
      </w:r>
      <w:r>
        <w:rPr>
          <w:i/>
          <w:iCs/>
        </w:rPr>
        <w:t xml:space="preserve">Chlamydomonas</w:t>
      </w:r>
      <w:r>
        <w:t xml:space="preserve"> </w:t>
      </w:r>
      <w:r>
        <w:t xml:space="preserve">cultures were prepared by MacKenzie Poirier (Cvetskova Lab, University of Ottawa); and</w:t>
      </w:r>
      <w:r>
        <w:t xml:space="preserve"> </w:t>
      </w:r>
      <w:r>
        <w:rPr>
          <w:i/>
          <w:iCs/>
        </w:rPr>
        <w:t xml:space="preserve">Fragilariopsis cylindrus</w:t>
      </w:r>
      <w:r>
        <w:t xml:space="preserve"> </w:t>
      </w:r>
      <w:r>
        <w:t xml:space="preserve">cultures were prepared by Sébastien Guérin (Takuvik International Research Laboratory, Université Laval).</w:t>
      </w:r>
    </w:p>
    <w:bookmarkEnd w:id="23"/>
    <w:bookmarkStart w:id="27" w:name="X9683d6b2bf0074449bf1187a1d79f27d9c13873"/>
    <w:p>
      <w:pPr>
        <w:pStyle w:val="Heading2"/>
      </w:pPr>
      <w:r>
        <w:rPr>
          <w:rStyle w:val="SectionNumber"/>
        </w:rPr>
        <w:t xml:space="preserve">1.2</w:t>
      </w:r>
      <w:r>
        <w:tab/>
      </w: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to evaluate progressive desynchronization of the S-State cycle across a range of phytoplankton species and growth temperatures. Then we loaded a</w:t>
      </w:r>
      <w:r>
        <w:t xml:space="preserve"> </w:t>
      </w:r>
      <w:r>
        <w:t xml:space="preserve">3 mL sample of culture into a temperature-controlled water-jacketed quartz cuvette (PolyScience), placed within the measurement chamber of a Soliense fluorometer (Version LIFT-REM 1.0, Soliense Inc). The apparatus was covered to block out incident light and cells were acclimated to the dark for a minimum of 30 seconds. In the dark PSII reaction centres relax to ground state,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comprises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 F</w:t>
      </w:r>
      <w:r>
        <w:rPr>
          <w:vertAlign w:val="subscript"/>
        </w:rPr>
        <w:t xml:space="preserve">O</w:t>
      </w:r>
      <w:r>
        <w:t xml:space="preserve"> </w:t>
      </w:r>
      <w:r>
        <w:t xml:space="preserve">and F</w:t>
      </w:r>
      <w:r>
        <w:rPr>
          <w:vertAlign w:val="subscript"/>
        </w:rPr>
        <w:t xml:space="preserve">M</w:t>
      </w:r>
      <w:r>
        <w:t xml:space="preserve"> </w:t>
      </w:r>
      <w:r>
        <w:t xml:space="preserve">are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can then be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 @ref(fig:rep_osc))</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rep_osc)Oscillations of the maximum quantum yield of PSII photochemistry over a Series of Single Turnover Saturating Flashes. FV/FM was normalized to the average value over the series for comparison across samples of Chlamydomonas priscui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5" name="Picture"/>
            <a:graphic>
              <a:graphicData uri="http://schemas.openxmlformats.org/drawingml/2006/picture">
                <pic:pic>
                  <pic:nvPicPr>
                    <pic:cNvPr descr="Figures/Rep_osc.png" id="26" name="Picture"/>
                    <pic:cNvPicPr>
                      <a:picLocks noChangeArrowheads="1" noChangeAspect="1"/>
                    </pic:cNvPicPr>
                  </pic:nvPicPr>
                  <pic:blipFill>
                    <a:blip r:embed="rId2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(#fig:rep_osc)</w:t>
      </w:r>
      <w:r>
        <w:rPr>
          <w:b/>
          <w:bCs/>
        </w:rPr>
        <w:t xml:space="preserve">Oscillations of the maximum quantum yield of PSII photochemistry over a Series of Single Turnover Saturating Flashes.</w:t>
      </w:r>
      <w:r>
        <w:t xml:space="preserve"> </w:t>
      </w:r>
      <w:r>
        <w:t xml:space="preserve">F</w:t>
      </w:r>
      <w:r>
        <w:rPr>
          <w:vertAlign w:val="subscript"/>
        </w:rPr>
        <w:t xml:space="preserve">V</w:t>
      </w:r>
      <w:r>
        <w:t xml:space="preserve">/F</w:t>
      </w:r>
      <w:r>
        <w:rPr>
          <w:vertAlign w:val="subscript"/>
        </w:rPr>
        <w:t xml:space="preserve">M</w:t>
      </w:r>
      <w:r>
        <w:t xml:space="preserve"> </w:t>
      </w:r>
      <w:r>
        <w:t xml:space="preserve">was normalized to the average value over the series for comparison across samples of</w:t>
      </w:r>
      <w:r>
        <w:t xml:space="preserve"> </w:t>
      </w:r>
      <w:r>
        <w:rPr>
          <w:i/>
          <w:iCs/>
        </w:rPr>
        <w:t xml:space="preserve">Chlamydomonas priscuii</w:t>
      </w:r>
      <w:r>
        <w:t xml:space="preserve">,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rPr>
          <w:rStyle w:val="SectionNumber"/>
        </w:rPr>
        <w:t xml:space="preserve">1.3</w:t>
      </w:r>
      <w:r>
        <w:tab/>
      </w:r>
      <w:r>
        <w:t xml:space="preserve">Measurements</w:t>
      </w:r>
    </w:p>
    <w:p>
      <w:pPr>
        <w:pStyle w:val="FirstParagraph"/>
      </w:pPr>
      <w:r>
        <w:t xml:space="preserve">By evaluating the oscillations in ChlF (Fig @ref(fig:rep_osc)), we tracked S-State cycling of polar and temperate taxa of diatoms and green algae under a range of measurement temperatures and effective light levels (@ref(tab:fluor_meas)), to determine if polar taxa maintain synchronized PSII function, as an index of their capacity for electron transport under low light, by suppressing wasteful photochemical misses.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 temperature</w:t>
      </w:r>
      <w:r>
        <w:t xml:space="preserve">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Measurement temperatures ranged from 0 to 28°C, depending on the taxa @ref(tab:fluor_meas).</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 @ref(fig:rep_osc)). Our instrument control limited our minimum flash spacing to 1 s, so cultures were evaluated at flash spacings of 1, 2, 4, 8, and 16 seconds @ref(tab:fluor_meas). The equivalent effective light levels are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r>
            <m:rPr>
              <m:sty m:val="p"/>
            </m:rPr>
            <m:t>(</m:t>
          </m:r>
          <m:r>
            <m:t>µ</m:t>
          </m:r>
          <m:r>
            <m:t>m</m:t>
          </m:r>
          <m:r>
            <m:t>o</m:t>
          </m:r>
          <m:r>
            <m:t>l</m:t>
          </m:r>
          <m:r>
            <m:t>p</m:t>
          </m:r>
          <m:r>
            <m:t>h</m:t>
          </m:r>
          <m:r>
            <m:t>o</m:t>
          </m:r>
          <m:r>
            <m:t>t</m:t>
          </m:r>
          <m:r>
            <m:t>o</m:t>
          </m:r>
          <m:r>
            <m:t>n</m:t>
          </m:r>
          <m:r>
            <m:t>s</m:t>
          </m:r>
          <m:sSup>
            <m:e>
              <m:r>
                <m:t>m</m:t>
              </m:r>
            </m:e>
            <m:sup>
              <m:r>
                <m:rPr>
                  <m:sty m:val="p"/>
                </m:rPr>
                <m:t>−</m:t>
              </m:r>
            </m:sup>
          </m:sSup>
          <m:sSup>
            <m:e>
              <m:r>
                <m:t>2</m:t>
              </m:r>
            </m:e>
            <m:sup>
              <m:sSup>
                <m:e>
                  <m:r>
                    <m:t>s</m:t>
                  </m:r>
                </m:e>
                <m:sup>
                  <m:r>
                    <m:rPr>
                      <m:sty m:val="p"/>
                    </m:rPr>
                    <m:t>−</m:t>
                  </m:r>
                </m:sup>
              </m:sSup>
            </m:sup>
          </m:sSup>
          <m:sSup>
            <m:e>
              <m:r>
                <m:t>1</m:t>
              </m:r>
            </m:e>
            <m:sup>
              <m:r>
                <m:rPr>
                  <m:sty m:val="p"/>
                </m:rPr>
                <m:t>)</m:t>
              </m:r>
            </m:sup>
          </m:sSup>
          <m:r>
            <m:rPr>
              <m:sty m:val="p"/>
            </m:rPr>
            <m:t>=</m:t>
          </m:r>
          <m:f>
            <m:fPr>
              <m:type m:val="bar"/>
            </m:fPr>
            <m:num>
              <m:r>
                <m:t>1</m:t>
              </m:r>
            </m:num>
            <m:den>
              <m:r>
                <m:t>f</m:t>
              </m:r>
              <m:r>
                <m:t>l</m:t>
              </m:r>
              <m:r>
                <m:t>a</m:t>
              </m:r>
              <m:r>
                <m:t>s</m:t>
              </m:r>
              <m:r>
                <m:t>h</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 @ref(fig:rep_osc))</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Han et al. (2022)</w:t>
      </w:r>
      <w:r>
        <w:t xml:space="preserve">. Prolonged synchronous cycling thus reflects a lower probability of desynchronization at each excitation, and thus a lower probability of losses through photochemical misses. Photochemical double hits also contribute to desynchronization</w:t>
      </w:r>
      <w:r>
        <w:t xml:space="preserve"> </w:t>
      </w:r>
      <w:r>
        <w:t xml:space="preserve">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The conversions of flash spacing to equivalent effective light levels gave similar ranges of light levels applied to each strain @ref(tab:fluor_meas). For comparison, full sunlight at the sea surface is ~ 2000 µmol photons m</w:t>
      </w:r>
      <w:r>
        <w:rPr>
          <w:vertAlign w:val="superscript"/>
        </w:rPr>
        <w:t xml:space="preserve">-2</w:t>
      </w:r>
      <w:r>
        <w:t xml:space="preserve">s</w:t>
      </w:r>
      <w:r>
        <w:rPr>
          <w:vertAlign w:val="superscript"/>
        </w:rPr>
        <w:t xml:space="preserve">-1</w:t>
      </w:r>
      <w:r>
        <w:t xml:space="preserve">, so our measurement light ranges are ~ 5 orders of magnitude lower than full sunlight, and ~ 2-3 orders of magnitude below the ~ 20 µmol photons m</w:t>
      </w:r>
      <w:r>
        <w:rPr>
          <w:vertAlign w:val="superscript"/>
        </w:rPr>
        <w:t xml:space="preserve">-2</w:t>
      </w:r>
      <w:r>
        <w:t xml:space="preserve">s</w:t>
      </w:r>
      <w:r>
        <w:rPr>
          <w:vertAlign w:val="superscript"/>
        </w:rPr>
        <w:t xml:space="preserve">-1</w:t>
      </w:r>
      <w:r>
        <w:t xml:space="preserve"> </w:t>
      </w:r>
      <w:r>
        <w:t xml:space="preserve">threshold, used to define the conventional bottom of the photic zone supporting photosynthetic productivity in the oceans</w:t>
      </w:r>
      <w:r>
        <w:t xml:space="preserve"> </w:t>
      </w:r>
      <w:r>
        <w:t xml:space="preserve">(Raven et al., 2000)</w:t>
      </w:r>
      <w:r>
        <w:t xml:space="preserve">, but span light ranges found to support phytoplankton productivity in field studies</w:t>
      </w:r>
      <w:r>
        <w:t xml:space="preserve"> </w:t>
      </w:r>
      <w:r>
        <w:t xml:space="preserve">Hoppe et al. (2024)</w:t>
      </w:r>
      <w:r>
        <w:t xml:space="preserve">.</w:t>
      </w:r>
    </w:p>
    <w:p>
      <w:pPr>
        <w:pStyle w:val="BodyText"/>
      </w:pPr>
      <w:r>
        <w:t xml:space="preserve">XXXredo this as data with conversionsXXX</w:t>
      </w:r>
    </w:p>
    <w:p>
      <w:pPr>
        <w:pStyle w:val="BodyText"/>
      </w:pPr>
      <w:r>
        <w:t xml:space="preserve">(#tab:fluor_meas)(#tab:fluor_meas)Study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p>
      <w:pPr>
        <w:pStyle w:val="BodyText"/>
      </w:pPr>
      <w:r>
        <w:t xml:space="preserve">Taxa</w:t>
      </w:r>
    </w:p>
    <w:p>
      <w:pPr>
        <w:pStyle w:val="BodyText"/>
      </w:pPr>
      <w:r>
        <w:t xml:space="preserve">Flash Spacings (s)</w:t>
      </w:r>
    </w:p>
    <w:p>
      <w:pPr>
        <w:pStyle w:val="BodyText"/>
      </w:pPr>
      <w:r>
        <w:t xml:space="preserve">Equivalent Light (µE)</w:t>
      </w:r>
    </w:p>
    <w:p>
      <w:pPr>
        <w:pStyle w:val="BodyText"/>
      </w:pPr>
      <w:r>
        <w:t xml:space="preserve">Measurement Temperatures (°C)</w:t>
      </w:r>
    </w:p>
    <w:p>
      <w:pPr>
        <w:pStyle w:val="BodyText"/>
      </w:pPr>
      <w:r>
        <w:t xml:space="preserve">Thalassiosira pseudonana</w:t>
      </w:r>
    </w:p>
    <w:p>
      <w:pPr>
        <w:pStyle w:val="BodyText"/>
      </w:pPr>
      <w:r>
        <w:t xml:space="preserve">1, 2, 4, 8, 16</w:t>
      </w:r>
    </w:p>
    <w:p>
      <w:pPr>
        <w:pStyle w:val="BodyText"/>
      </w:pPr>
      <w:r>
        <w:t xml:space="preserve">0.02428 - 0.53428</w:t>
      </w:r>
    </w:p>
    <w:p>
      <w:pPr>
        <w:pStyle w:val="BodyText"/>
      </w:pPr>
      <w:r>
        <w:t xml:space="preserve">10, 14, 18, 20, 22, 24, 28</w:t>
      </w:r>
    </w:p>
    <w:p>
      <w:pPr>
        <w:pStyle w:val="BodyText"/>
      </w:pPr>
      <w:r>
        <w:t xml:space="preserve">Chlorella vulgaris</w:t>
      </w:r>
    </w:p>
    <w:p>
      <w:pPr>
        <w:pStyle w:val="BodyText"/>
      </w:pPr>
      <w:r>
        <w:t xml:space="preserve">1, 2, 4, 8, 16</w:t>
      </w:r>
    </w:p>
    <w:p>
      <w:pPr>
        <w:pStyle w:val="BodyText"/>
      </w:pPr>
      <w:r>
        <w:t xml:space="preserve">0.05102 - 0.89781</w:t>
      </w:r>
    </w:p>
    <w:p>
      <w:pPr>
        <w:pStyle w:val="BodyText"/>
      </w:pPr>
      <w:r>
        <w:t xml:space="preserve">10, 14, 18, 22, 26</w:t>
      </w:r>
    </w:p>
    <w:p>
      <w:pPr>
        <w:pStyle w:val="BodyText"/>
      </w:pPr>
      <w:r>
        <w:t xml:space="preserve">Chlamydomonas reinhardtii</w:t>
      </w:r>
    </w:p>
    <w:p>
      <w:pPr>
        <w:pStyle w:val="BodyText"/>
      </w:pPr>
      <w:r>
        <w:t xml:space="preserve">1, 2, 4, 8, 16</w:t>
      </w:r>
    </w:p>
    <w:p>
      <w:pPr>
        <w:pStyle w:val="BodyText"/>
      </w:pPr>
      <w:r>
        <w:t xml:space="preserve">0.04670 - 0.84377</w:t>
      </w:r>
    </w:p>
    <w:p>
      <w:pPr>
        <w:pStyle w:val="BodyText"/>
      </w:pPr>
      <w:r>
        <w:t xml:space="preserve">12, 16, 20, 24</w:t>
      </w:r>
    </w:p>
    <w:p>
      <w:pPr>
        <w:pStyle w:val="BodyText"/>
      </w:pPr>
      <w:r>
        <w:t xml:space="preserve">Fragilariopsis cylindrus</w:t>
      </w:r>
    </w:p>
    <w:p>
      <w:pPr>
        <w:pStyle w:val="BodyText"/>
      </w:pPr>
      <w:r>
        <w:t xml:space="preserve">1, 2, 4, 8, 16</w:t>
      </w:r>
    </w:p>
    <w:p>
      <w:pPr>
        <w:pStyle w:val="BodyText"/>
      </w:pPr>
      <w:r>
        <w:t xml:space="preserve">0.02981 - 0.65678</w:t>
      </w:r>
    </w:p>
    <w:p>
      <w:pPr>
        <w:pStyle w:val="BodyText"/>
      </w:pPr>
      <w:r>
        <w:t xml:space="preserve">0, 2, 6, 10</w:t>
      </w:r>
    </w:p>
    <w:p>
      <w:pPr>
        <w:pStyle w:val="BodyText"/>
      </w:pPr>
      <w:r>
        <w:t xml:space="preserve">Chlamydomonas priscuii</w:t>
      </w:r>
    </w:p>
    <w:p>
      <w:pPr>
        <w:pStyle w:val="BodyText"/>
      </w:pPr>
      <w:r>
        <w:t xml:space="preserve">1, 2, 4, 8, 16</w:t>
      </w:r>
    </w:p>
    <w:p>
      <w:pPr>
        <w:pStyle w:val="BodyText"/>
      </w:pPr>
      <w:r>
        <w:t xml:space="preserve">0.04289 - 0.77084</w:t>
      </w:r>
    </w:p>
    <w:p>
      <w:pPr>
        <w:pStyle w:val="BodyText"/>
      </w:pPr>
      <w:r>
        <w:t xml:space="preserve">4, 8, 12</w:t>
      </w:r>
    </w:p>
    <w:p>
      <w:pPr>
        <w:pStyle w:val="BodyText"/>
      </w:pPr>
      <w:r>
        <w:t xml:space="preserve">Chlamydomonas ICEMDV</w:t>
      </w:r>
    </w:p>
    <w:p>
      <w:pPr>
        <w:pStyle w:val="BodyText"/>
      </w:pPr>
      <w:r>
        <w:t xml:space="preserve">1, 2, 4, 8, 16</w:t>
      </w:r>
    </w:p>
    <w:p>
      <w:pPr>
        <w:pStyle w:val="BodyText"/>
      </w:pPr>
      <w:r>
        <w:t xml:space="preserve">0.04252 - 0.73733</w:t>
      </w:r>
    </w:p>
    <w:p>
      <w:pPr>
        <w:pStyle w:val="BodyText"/>
      </w:pPr>
      <w:r>
        <w:t xml:space="preserve">4, 8, 12</w:t>
      </w:r>
    </w:p>
    <w:p>
      <w:pPr>
        <w:pStyle w:val="BodyText"/>
      </w:pPr>
      <w:r>
        <w:t xml:space="preserve">Chlamydomona malina</w:t>
      </w:r>
    </w:p>
    <w:p>
      <w:pPr>
        <w:pStyle w:val="BodyText"/>
      </w:pPr>
      <w:r>
        <w:t xml:space="preserve">1, 2, 4, 8, 16</w:t>
      </w:r>
    </w:p>
    <w:p>
      <w:pPr>
        <w:pStyle w:val="BodyText"/>
      </w:pPr>
      <w:r>
        <w:t xml:space="preserve">0.03705 - 0.65817</w:t>
      </w:r>
    </w:p>
    <w:p>
      <w:pPr>
        <w:pStyle w:val="BodyText"/>
      </w:pPr>
      <w:r>
        <w:t xml:space="preserve">4, 8, 12</w:t>
      </w:r>
    </w:p>
    <w:bookmarkEnd w:id="28"/>
    <w:bookmarkStart w:id="29" w:name="analytical-methods"/>
    <w:p>
      <w:pPr>
        <w:pStyle w:val="Heading2"/>
      </w:pPr>
      <w:r>
        <w:rPr>
          <w:rStyle w:val="SectionNumber"/>
        </w:rPr>
        <w:t xml:space="preserve">1.4</w:t>
      </w:r>
      <w:r>
        <w:tab/>
      </w: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(Halekoh and Højsgaard, 2025)</w:t>
      </w:r>
      <w:r>
        <w:t xml:space="preserve"> </w:t>
      </w:r>
      <w:r>
        <w:t xml:space="preserve">packages were used for wavelet analyses. The mgcv</w:t>
      </w:r>
      <w:r>
        <w:t xml:space="preserve"> </w:t>
      </w:r>
      <w:r>
        <w:t xml:space="preserve">(Halekoh and Højsgaard, 2025)</w:t>
      </w:r>
      <w:r>
        <w:t xml:space="preserve"> </w:t>
      </w:r>
      <w:r>
        <w:t xml:space="preserve">and mgcViz</w:t>
      </w:r>
      <w:r>
        <w:t xml:space="preserve"> </w:t>
      </w:r>
      <w:r>
        <w:t xml:space="preserve">(Halekoh and Højsgaard, 2025)</w:t>
      </w:r>
      <w:r>
        <w:t xml:space="preserve"> </w:t>
      </w:r>
      <w:r>
        <w:t xml:space="preserve">packages were used for generalized additive modelling, while the ggplot2</w:t>
      </w:r>
      <w:r>
        <w:t xml:space="preserve"> </w:t>
      </w:r>
      <w:r>
        <w:t xml:space="preserve">(Halekoh and Højsgaard, 2025)</w:t>
      </w:r>
      <w:r>
        <w:t xml:space="preserve"> </w:t>
      </w:r>
      <w:r>
        <w:t xml:space="preserve">, ggh4x</w:t>
      </w:r>
      <w:r>
        <w:t xml:space="preserve"> </w:t>
      </w:r>
      <w:r>
        <w:t xml:space="preserve">(Halekoh and Højsgaard, 2025)</w:t>
      </w:r>
      <w:r>
        <w:t xml:space="preserve">, and metR</w:t>
      </w:r>
      <w:r>
        <w:t xml:space="preserve"> </w:t>
      </w:r>
      <w:r>
        <w:t xml:space="preserve">(Halekoh and Højsgaard, 2025)</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2024)</w:t>
      </w:r>
      <w:r>
        <w:t xml:space="preserve">,</w:t>
      </w:r>
      <w:r>
        <w:t xml:space="preserve"> </w:t>
      </w:r>
      <w:r>
        <w:t xml:space="preserve">‘</w:t>
      </w:r>
      <w:r>
        <w:t xml:space="preserve">knitr</w:t>
      </w:r>
      <w:r>
        <w:t xml:space="preserve">’</w:t>
      </w:r>
      <w:r>
        <w:t xml:space="preserve"> </w:t>
      </w:r>
      <w:r>
        <w:t xml:space="preserve">(Xie, 2025)</w:t>
      </w:r>
      <w:r>
        <w:t xml:space="preserve">, and</w:t>
      </w:r>
      <w:r>
        <w:t xml:space="preserve"> </w:t>
      </w:r>
      <w:r>
        <w:t xml:space="preserve">‘</w:t>
      </w:r>
      <w:r>
        <w:t xml:space="preserve">kableExtra</w:t>
      </w:r>
      <w:r>
        <w:t xml:space="preserve">’</w:t>
      </w:r>
      <w:r>
        <w:t xml:space="preserve"> </w:t>
      </w:r>
      <w:r>
        <w:t xml:space="preserve">(Zhu, 2024)</w:t>
      </w:r>
      <w:r>
        <w:t xml:space="preserve">.</w:t>
      </w:r>
    </w:p>
    <w:bookmarkEnd w:id="29"/>
    <w:bookmarkStart w:id="33" w:name="wavelet-transformations"/>
    <w:p>
      <w:pPr>
        <w:pStyle w:val="Heading2"/>
      </w:pPr>
      <w:r>
        <w:rPr>
          <w:rStyle w:val="SectionNumber"/>
        </w:rPr>
        <w:t xml:space="preserve">1.5</w:t>
      </w:r>
      <w:r>
        <w:tab/>
      </w: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 @ref(fig:rep_recon)).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rep_recon)Representative wavelet transformations of Antarctic Chlamydomonas priscuii variable chlorophyll fluorescence (FV/FM) measured at 4, 8 or 12°C, over 32 consecutive single turnover saturating flashes, applied at spacings of 1, 2, 4, 8, 16 s, equivalent to photon delivery rates to PSII achieved under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r>
        <w:t xml:space="preserve">(#fig:rep_recon)Representative wavelet transformations of Antarctic</w:t>
      </w:r>
      <w:r>
        <w:t xml:space="preserve"> </w:t>
      </w:r>
      <w:r>
        <w:rPr>
          <w:i/>
          <w:iCs/>
        </w:rPr>
        <w:t xml:space="preserve">Chlamydomonas priscuii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areas with a statistically significant signal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3"/>
    <w:bookmarkStart w:id="34" w:name="generalized-additive-modelling"/>
    <w:p>
      <w:pPr>
        <w:pStyle w:val="Heading2"/>
      </w:pPr>
      <w:r>
        <w:rPr>
          <w:rStyle w:val="SectionNumber"/>
        </w:rPr>
        <w:t xml:space="preserve">1.6</w:t>
      </w:r>
      <w:r>
        <w:tab/>
      </w:r>
      <w:r>
        <w:t xml:space="preserve">Generalized Additive Modelling</w:t>
      </w:r>
    </w:p>
    <w:p>
      <w:pPr>
        <w:pStyle w:val="FirstParagraph"/>
      </w:pPr>
      <w:r>
        <w:t xml:space="preserve">The observed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 @ref(tab:gammodel_temp))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These predictions were then visually represented with a contour plot.</w:t>
      </w:r>
    </w:p>
    <w:bookmarkEnd w:id="34"/>
    <w:bookmarkEnd w:id="35"/>
    <w:bookmarkStart w:id="54" w:name="results"/>
    <w:p>
      <w:pPr>
        <w:pStyle w:val="Heading1"/>
      </w:pPr>
      <w:r>
        <w:t xml:space="preserve">Results</w:t>
      </w:r>
    </w:p>
    <w:bookmarkStart w:id="36" w:name="X751d85612684049c408471e0af01b1d1e65a0ea"/>
    <w:p>
      <w:pPr>
        <w:pStyle w:val="Heading2"/>
      </w:pPr>
      <w:r>
        <w:rPr>
          <w:rStyle w:val="SectionNumber"/>
        </w:rPr>
        <w:t xml:space="preserve">1.7</w:t>
      </w:r>
      <w:r>
        <w:tab/>
      </w:r>
      <w:r>
        <w:t xml:space="preserve">Single Turnover Variable Chlorophyll Fluorescence</w:t>
      </w:r>
    </w:p>
    <w:p>
      <w:pPr>
        <w:pStyle w:val="FirstParagraph"/>
      </w:pPr>
      <w:r>
        <w:t xml:space="preserve">Exposing phytoplankton cultures to a series of 32 successive flashes produced oscillations in the maximum quantum yield of photochemistry in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de Wijn and van Gorkom (2002)</w:t>
      </w:r>
      <w:r>
        <w:t xml:space="preserve">. As shown in Fig @ref(fig:rep_osc) and Fig @ref(fig:rep_recon),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However, the amplitudes of the ChlF oscillations declines progressively over time, and with wider spacing of sequential flashes, equivalent to decreasing effective light levels, and is less persistent at a higher measurement temperature</w:t>
      </w:r>
    </w:p>
    <w:bookmarkEnd w:id="36"/>
    <w:bookmarkStart w:id="46" w:name="wavelet-analysis"/>
    <w:p>
      <w:pPr>
        <w:pStyle w:val="Heading2"/>
      </w:pPr>
      <w:r>
        <w:rPr>
          <w:rStyle w:val="SectionNumber"/>
        </w:rPr>
        <w:t xml:space="preserve">1.8</w:t>
      </w:r>
      <w:r>
        <w:tab/>
      </w: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priscuii</w:t>
      </w:r>
      <w:r>
        <w:t xml:space="preserve"> </w:t>
      </w:r>
      <w:r>
        <w:t xml:space="preserve">(Figure @ref(fig:cpriscuii_waveletpower)),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cpriscuii_waveletpower)Sample plot of wavelet powers by period of oscillations in the maximum quantum yield of photochemistry Antarctic green algae Chlamydomonas priscuii, grown at 4°C, and measured across a range of measurement temperatures and flash spacings, with the equivalent effective light levels. Regions where wavelet power reached statistical significance (p &lt; 0.05) shaded in blue" title="" id="38" name="Picture"/>
            <a:graphic>
              <a:graphicData uri="http://schemas.openxmlformats.org/drawingml/2006/picture">
                <pic:pic>
                  <pic:nvPicPr>
                    <pic:cNvPr descr="Figures/Cpriscuii_waveletpower.png" id="39" name="Picture"/>
                    <pic:cNvPicPr>
                      <a:picLocks noChangeArrowheads="1" noChangeAspect="1"/>
                    </pic:cNvPicPr>
                  </pic:nvPicPr>
                  <pic:blipFill>
                    <a:blip r:embed="rId37"/>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(#fig:cpriscuii_waveletpower)Sample plot of wavelet powers by period of oscillations in the maximum quantum yield of photochemistry Antarctic green algae</w:t>
      </w:r>
      <w:r>
        <w:t xml:space="preserve"> </w:t>
      </w:r>
      <w:r>
        <w:rPr>
          <w:i/>
          <w:iCs/>
        </w:rPr>
        <w:t xml:space="preserve">Chlamydomonas priscuii</w:t>
      </w:r>
      <w:r>
        <w:t xml:space="preserve">, grown at 4°C, and measured across a range of measurement temperatures and flash spacings, with the equivalent effective light levels. Regions where wavelet power reached statistical significance (p &lt; 0.05)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 @ref(fig:creinhardtiii_waveletpower)), the wavelet power is consistently lower, showing a weaker 4-step periodicity of ChlF in temperate taxa, which only reaches statistical significance at shorter flash spacings, with higher equivalent effective light levels.</w:t>
      </w:r>
    </w:p>
    <w:p>
      <w:pPr>
        <w:pStyle w:val="CaptionedFigure"/>
      </w:pPr>
      <w:r>
        <w:drawing>
          <wp:inline>
            <wp:extent cx="5943600" cy="3128210"/>
            <wp:effectExtent b="0" l="0" r="0" t="0"/>
            <wp:docPr descr="(#fig:creinhardtiii_waveletpower)Sample plot of wavelet powers by period of oscillations in the maximum quantum yield of photochemistry in the temperate green algae Chlamydomonas reinhardtii, grown at 4°C, and measured across a range of measurement temperatures and flash spacings, with the equivalent effective light levels. Regions where wavelet power reached statistical significance (p &lt; 0.05) shaded in blue" title="" id="41" name="Picture"/>
            <a:graphic>
              <a:graphicData uri="http://schemas.openxmlformats.org/drawingml/2006/picture">
                <pic:pic>
                  <pic:nvPicPr>
                    <pic:cNvPr descr="Figures/Creinhardtii_waveletpower.png" id="42" name="Picture"/>
                    <pic:cNvPicPr>
                      <a:picLocks noChangeArrowheads="1" noChangeAspect="1"/>
                    </pic:cNvPicPr>
                  </pic:nvPicPr>
                  <pic:blipFill>
                    <a:blip r:embed="rId40"/>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(#fig:creinhardtiii_waveletpower)Sample plot of wavelet powers by period of oscillations in the maximum quantum yield of photochemistry in the temperate green algae</w:t>
      </w:r>
      <w:r>
        <w:t xml:space="preserve"> </w:t>
      </w:r>
      <w:r>
        <w:rPr>
          <w:i/>
          <w:iCs/>
        </w:rPr>
        <w:t xml:space="preserve">Chlamydomonas reinhardtii</w:t>
      </w:r>
      <w:r>
        <w:t xml:space="preserve">, grown at 4°C, and measured across a range of measurement temperatures and flash spacings, with the equivalent effective light levels. Regions where wavelet power reached statistical significance (p &lt; 0.05) shaded in blue</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 @ref(fig:periodicity_mtrx)), including measures taken at a common temperature of 12°C.</w:t>
      </w:r>
    </w:p>
    <w:p>
      <w:pPr>
        <w:pStyle w:val="CaptionedFigure"/>
      </w:pPr>
      <w:r>
        <w:drawing>
          <wp:inline>
            <wp:extent cx="5943600" cy="4245428"/>
            <wp:effectExtent b="0" l="0" r="0" t="0"/>
            <wp:docPr descr="(#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44" name="Picture"/>
            <a:graphic>
              <a:graphicData uri="http://schemas.openxmlformats.org/drawingml/2006/picture">
                <pic:pic>
                  <pic:nvPicPr>
                    <pic:cNvPr descr="Figures/Periodicity_mtrx.png" id="45" name="Picture"/>
                    <pic:cNvPicPr>
                      <a:picLocks noChangeArrowheads="1" noChangeAspect="1"/>
                    </pic:cNvPicPr>
                  </pic:nvPicPr>
                  <pic:blipFill>
                    <a:blip r:embed="rId4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46"/>
    <w:bookmarkStart w:id="53" w:name="X694b14b270fb833c56c12092c98cb4eae2f769f"/>
    <w:p>
      <w:pPr>
        <w:pStyle w:val="Heading2"/>
      </w:pPr>
      <w:r>
        <w:rPr>
          <w:rStyle w:val="SectionNumber"/>
        </w:rPr>
        <w:t xml:space="preserve">1.9</w:t>
      </w:r>
      <w:r>
        <w:tab/>
      </w: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 (Tab @tab(fig:gammodel_temp))), Figure (Fig @ref(fig:fluor_meas))) set by flash spacing, for each strain. For</w:t>
      </w:r>
      <w:r>
        <w:t xml:space="preserve"> </w:t>
      </w:r>
      <w:r>
        <w:rPr>
          <w:i/>
          <w:iCs/>
        </w:rPr>
        <w:t xml:space="preserve">Thalassiosira pseudonana</w:t>
      </w:r>
      <w:r>
        <w:t xml:space="preserve">,</w:t>
      </w:r>
      <w:r>
        <w:t xml:space="preserve"> </w:t>
      </w:r>
      <w:r>
        <w:rPr>
          <w:i/>
          <w:iCs/>
        </w:rPr>
        <w:t xml:space="preserve">Chlamydomonas ICEMDV</w:t>
      </w:r>
      <w:r>
        <w:t xml:space="preserve">,</w:t>
      </w:r>
      <w:r>
        <w:t xml:space="preserve"> </w:t>
      </w:r>
      <w:r>
        <w:rPr>
          <w:i/>
          <w:iCs/>
        </w:rPr>
        <w:t xml:space="preserve">Chlamydomonas priscuii</w:t>
      </w:r>
      <w:r>
        <w:t xml:space="preserve">,</w:t>
      </w:r>
      <w:r>
        <w:t xml:space="preserve"> </w:t>
      </w:r>
      <w:r>
        <w:rPr>
          <w:i/>
          <w:iCs/>
        </w:rPr>
        <w:t xml:space="preserve">Chlamydomonas malina</w:t>
      </w:r>
      <w:r>
        <w:t xml:space="preserve">,</w:t>
      </w:r>
      <w:r>
        <w:t xml:space="preserve"> </w:t>
      </w:r>
      <w:r>
        <w:rPr>
          <w:i/>
          <w:iCs/>
        </w:rPr>
        <w:t xml:space="preserve">Chlamydomonas reinhardtii</w:t>
      </w:r>
      <w:r>
        <w:t xml:space="preserve">, and</w:t>
      </w:r>
      <w:r>
        <w:t xml:space="preserve"> </w:t>
      </w:r>
      <w:r>
        <w:rPr>
          <w:i/>
          <w:iCs/>
        </w:rPr>
        <w:t xml:space="preserve">Chlorella vulgaris</w:t>
      </w:r>
      <w:r>
        <w:t xml:space="preserve">, all replicate cultures of each taxa were grown at the same temperature (Table (Tab @tab(fig:gammodel_temp))). The polar diatom</w:t>
      </w:r>
      <w:r>
        <w:t xml:space="preserve"> </w:t>
      </w:r>
      <w:r>
        <w:rPr>
          <w:i/>
          <w:iCs/>
        </w:rPr>
        <w:t xml:space="preserve">Fragilariopsis cylindrus</w:t>
      </w:r>
      <w:r>
        <w:t xml:space="preserve"> </w:t>
      </w:r>
      <w:r>
        <w:t xml:space="preserve">was cultured at both 0 and 6°C. Thus, separate models were fit for each</w:t>
      </w:r>
      <w:r>
        <w:t xml:space="preserve"> </w:t>
      </w:r>
      <w:r>
        <w:rPr>
          <w:i/>
          <w:iCs/>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b/>
          <w:b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 @ref(fig:diatoms_gamtemp)). Under these conditions,</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 (Tab @tab(fig:gammodel_temp))). For</w:t>
      </w:r>
      <w:r>
        <w:t xml:space="preserve"> </w:t>
      </w:r>
      <w:r>
        <w:rPr>
          <w:i/>
          <w:iCs/>
        </w:rPr>
        <w:t xml:space="preserve">Chlamydomonas priscuii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
          <w:iCs/>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 @ref(fig:greens_gamtemp)). The trends shown by the three strains of polar algae are consistent, differing by only 1-2 flashes before signal damping, under identical conditions (Fig @ref(fig:greens_gamtemp)). Further, much like the temperate diatoms, the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 @ref(fig:diatoms_gamtemp)).</w:t>
      </w:r>
    </w:p>
    <w:p>
      <w:pPr>
        <w:pStyle w:val="CaptionedFigure"/>
      </w:pPr>
      <w:r>
        <w:drawing>
          <wp:inline>
            <wp:extent cx="5943600" cy="3962399"/>
            <wp:effectExtent b="0" l="0" r="0" t="0"/>
            <wp:docPr descr="(#fig:diatoms_gamtemp)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48" name="Picture"/>
            <a:graphic>
              <a:graphicData uri="http://schemas.openxmlformats.org/drawingml/2006/picture">
                <pic:pic>
                  <pic:nvPicPr>
                    <pic:cNvPr descr="Figures/Diatoms_GAMtemp.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r>
        <w:t xml:space="preserve">(#fig:diatoms_gamtemp)GAM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 @ref(fig:greens_gamtemp)).</w:t>
      </w:r>
    </w:p>
    <w:p>
      <w:pPr>
        <w:pStyle w:val="CaptionedFigure"/>
      </w:pPr>
      <w:r>
        <w:drawing>
          <wp:inline>
            <wp:extent cx="5943600" cy="3834580"/>
            <wp:effectExtent b="0" l="0" r="0" t="0"/>
            <wp:docPr descr="(#fig:greens_gamtemp)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White dashed vertical lines represent the growth temperatures." title="" id="51" name="Picture"/>
            <a:graphic>
              <a:graphicData uri="http://schemas.openxmlformats.org/drawingml/2006/picture">
                <pic:pic>
                  <pic:nvPicPr>
                    <pic:cNvPr descr="Figures/Greens_GAMtemp.png" id="52" name="Picture"/>
                    <pic:cNvPicPr>
                      <a:picLocks noChangeArrowheads="1" noChangeAspect="1"/>
                    </pic:cNvPicPr>
                  </pic:nvPicPr>
                  <pic:blipFill>
                    <a:blip r:embed="rId50"/>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r>
        <w:t xml:space="preserve">(#fig:greens_gamtemp)GAM models for polar and temperate green algae, of consecutive flashes before damping of S-State-induced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53"/>
    <w:bookmarkEnd w:id="54"/>
    <w:bookmarkStart w:id="55"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temperatures and increasing spacing of flashes, equivalent to excitation by decreasing light. Thus sustained synchronized S-State cycling of PSII decayed faster under higher temperatures and lower equivalent light (Figures @ref(fig:cpriscuii_waveletpower), @ref(fig:periodicity_mtrx))</w:t>
      </w:r>
      <w:r>
        <w:t xml:space="preserve"> </w:t>
      </w:r>
      <w:r>
        <w:t xml:space="preserve">(de Wijn and van Gorkom, 2002)</w:t>
      </w:r>
      <w:r>
        <w:t xml:space="preserve">. The desynchronization of S-State cycling among the PSII in a population indicates that a sufficient number of photochemical misses, including charge recombinations, have taken place to create a PSII population with a random distribution of S-States. Thus, if this desynchronization occurs after fewer consecutive flashes, it signifies an increased proportion of PSIIs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Polar strains of diatoms and green algae consistently demonstrated a stronger periodicity in ChlF emissions (Figures</w:t>
      </w:r>
      <w:r>
        <w:t xml:space="preserve"> </w:t>
      </w:r>
      <w:r>
        <w:t xml:space="preserve">(</w:t>
      </w:r>
      <w:r>
        <w:rPr>
          <w:b/>
          <w:bCs/>
        </w:rPr>
        <w:t xml:space="preserve">ref?</w:t>
      </w:r>
      <w:r>
        <w:t xml:space="preserve">)</w:t>
      </w:r>
      <w:r>
        <w:t xml:space="preserve">(cpriscuii_waveletpower),</w:t>
      </w:r>
      <w:r>
        <w:t xml:space="preserve"> </w:t>
      </w:r>
      <w:r>
        <w:t xml:space="preserve">(</w:t>
      </w:r>
      <w:r>
        <w:rPr>
          <w:b/>
          <w:bCs/>
        </w:rPr>
        <w:t xml:space="preserve">ref?</w:t>
      </w:r>
      <w:r>
        <w:t xml:space="preserve">)</w:t>
      </w:r>
      <w:r>
        <w:t xml:space="preserve">(fig:creinhardtiii_waveletpower), SupplementalFigures). Further, they exhibited significant 4-step ChlF oscillations under a broader range of measurement conditions around their growth temperatures (Figure @ref(fig:periodicity_mtrx)) than did their temperate counterparts. These findings illustrate that polar phytoplankton strains, at and around their growth temperatures, show higher capacity to maintain synchronized S-State cycling than do temperate strains.</w:t>
      </w:r>
      <w:r>
        <w:t xml:space="preserve"> </w:t>
      </w:r>
      <w:r>
        <w:t xml:space="preserve">The rates of photochemical misses, notably through charge recombinations, relative to productive photochemistry, increase under lower light and higher temperatures</w:t>
      </w:r>
      <w:r>
        <w:t xml:space="preserve"> </w:t>
      </w:r>
      <w:r>
        <w:t xml:space="preserve">Ivanov et al. (2006)</w:t>
      </w:r>
      <w:r>
        <w:t xml:space="preserve">. Thus, sustained synchronized S-State cycling in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Keren et al. (1997)</w:t>
      </w:r>
      <w:r>
        <w:t xml:space="preserve">. Thus, PSII function under widely spaced excitations appear integral for the productivity of polar phytoplankton under the ice during the polar night.</w:t>
      </w:r>
    </w:p>
    <w:p>
      <w:pPr>
        <w:pStyle w:val="BodyText"/>
      </w:pPr>
      <w:r>
        <w:t xml:space="preserve">The mechanisms enabling polar phytoplankton to sustain slow, but significant, productivity under the ice in the winter are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temperature is a factor enabling phytoplankton to exploit extreme low light. Taxa with this capacity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55"/>
    <w:bookmarkStart w:id="56" w:name="acknowledgements"/>
    <w:p>
      <w:pPr>
        <w:pStyle w:val="Heading1"/>
      </w:pPr>
      <w:r>
        <w:t xml:space="preserve">Acknowledgements</w:t>
      </w:r>
    </w:p>
    <w:bookmarkEnd w:id="56"/>
    <w:bookmarkStart w:id="57" w:name="supporting-information"/>
    <w:p>
      <w:pPr>
        <w:pStyle w:val="Heading1"/>
      </w:pPr>
      <w:r>
        <w:t xml:space="preserve">Supporting information</w:t>
      </w:r>
    </w:p>
    <w:bookmarkEnd w:id="57"/>
    <w:bookmarkStart w:id="186" w:name="references"/>
    <w:p>
      <w:pPr>
        <w:pStyle w:val="Heading1"/>
      </w:pPr>
      <w:r>
        <w:t xml:space="preserve">References</w:t>
      </w:r>
    </w:p>
    <w:bookmarkStart w:id="185" w:name="refs"/>
    <w:bookmarkStart w:id="5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58">
        <w:r>
          <w:rPr>
            <w:rStyle w:val="Hyperlink"/>
          </w:rPr>
          <w:t xml:space="preserve">10.1038/s41558-020-0905-y</w:t>
        </w:r>
      </w:hyperlink>
      <w:r>
        <w:t xml:space="preserve">.</w:t>
      </w:r>
    </w:p>
    <w:bookmarkEnd w:id="59"/>
    <w:bookmarkStart w:id="6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60">
        <w:r>
          <w:rPr>
            <w:rStyle w:val="Hyperlink"/>
          </w:rPr>
          <w:t xml:space="preserve">10.5194/bg-9-4553-2012</w:t>
        </w:r>
      </w:hyperlink>
      <w:r>
        <w:t xml:space="preserve">.</w:t>
      </w:r>
    </w:p>
    <w:bookmarkEnd w:id="61"/>
    <w:bookmarkStart w:id="6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62">
        <w:r>
          <w:rPr>
            <w:rStyle w:val="Hyperlink"/>
          </w:rPr>
          <w:t xml:space="preserve">10.1016/j.cryobiol.2011.08.006</w:t>
        </w:r>
      </w:hyperlink>
      <w:r>
        <w:t xml:space="preserve">.</w:t>
      </w:r>
    </w:p>
    <w:bookmarkEnd w:id="63"/>
    <w:bookmarkStart w:id="65"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64">
        <w:r>
          <w:rPr>
            <w:rStyle w:val="Hyperlink"/>
          </w:rPr>
          <w:t xml:space="preserve">https://googlesheets4.tidyverse.org</w:t>
        </w:r>
      </w:hyperlink>
      <w:r>
        <w:t xml:space="preserve">.</w:t>
      </w:r>
    </w:p>
    <w:bookmarkEnd w:id="65"/>
    <w:bookmarkStart w:id="67"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66">
        <w:r>
          <w:rPr>
            <w:rStyle w:val="Hyperlink"/>
          </w:rPr>
          <w:t xml:space="preserve">10.1007/s00442-008-0993-2</w:t>
        </w:r>
      </w:hyperlink>
      <w:r>
        <w:t xml:space="preserve">.</w:t>
      </w:r>
    </w:p>
    <w:bookmarkEnd w:id="67"/>
    <w:bookmarkStart w:id="6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68">
        <w:r>
          <w:rPr>
            <w:rStyle w:val="Hyperlink"/>
          </w:rPr>
          <w:t xml:space="preserve">10.1007/s00300-010-0794-z</w:t>
        </w:r>
      </w:hyperlink>
      <w:r>
        <w:t xml:space="preserve">.</w:t>
      </w:r>
    </w:p>
    <w:bookmarkEnd w:id="69"/>
    <w:bookmarkStart w:id="71"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70">
        <w:r>
          <w:rPr>
            <w:rStyle w:val="Hyperlink"/>
          </w:rPr>
          <w:t xml:space="preserve">10.1007/s11120-019-00621-0</w:t>
        </w:r>
      </w:hyperlink>
      <w:r>
        <w:t xml:space="preserve">.</w:t>
      </w:r>
    </w:p>
    <w:bookmarkEnd w:id="71"/>
    <w:bookmarkStart w:id="73"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72">
        <w:r>
          <w:rPr>
            <w:rStyle w:val="Hyperlink"/>
          </w:rPr>
          <w:t xml:space="preserve">10.1111/ppl.13811</w:t>
        </w:r>
      </w:hyperlink>
      <w:r>
        <w:t xml:space="preserve">.</w:t>
      </w:r>
    </w:p>
    <w:bookmarkEnd w:id="73"/>
    <w:bookmarkStart w:id="75"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74">
        <w:r>
          <w:rPr>
            <w:rStyle w:val="Hyperlink"/>
          </w:rPr>
          <w:t xml:space="preserve">10.1007/s11120-007-9141-9</w:t>
        </w:r>
      </w:hyperlink>
      <w:r>
        <w:t xml:space="preserve">.</w:t>
      </w:r>
    </w:p>
    <w:bookmarkEnd w:id="75"/>
    <w:bookmarkStart w:id="77"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76">
        <w:r>
          <w:rPr>
            <w:rStyle w:val="Hyperlink"/>
          </w:rPr>
          <w:t xml:space="preserve">10.1023/A:1016128632704</w:t>
        </w:r>
      </w:hyperlink>
      <w:r>
        <w:t xml:space="preserve">.</w:t>
      </w:r>
    </w:p>
    <w:bookmarkEnd w:id="77"/>
    <w:bookmarkStart w:id="79"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78">
        <w:r>
          <w:rPr>
            <w:rStyle w:val="Hyperlink"/>
          </w:rPr>
          <w:t xml:space="preserve">10.1016/j.bbabio.2020.148212</w:t>
        </w:r>
      </w:hyperlink>
      <w:r>
        <w:t xml:space="preserve">.</w:t>
      </w:r>
    </w:p>
    <w:bookmarkEnd w:id="79"/>
    <w:bookmarkStart w:id="81"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80">
        <w:r>
          <w:rPr>
            <w:rStyle w:val="Hyperlink"/>
          </w:rPr>
          <w:t xml:space="preserve">https://github.com/hojsgaard/doBy</w:t>
        </w:r>
      </w:hyperlink>
      <w:r>
        <w:t xml:space="preserve">.</w:t>
      </w:r>
    </w:p>
    <w:bookmarkEnd w:id="81"/>
    <w:bookmarkStart w:id="83"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82">
        <w:r>
          <w:rPr>
            <w:rStyle w:val="Hyperlink"/>
          </w:rPr>
          <w:t xml:space="preserve">10.1039/D2SC00854H</w:t>
        </w:r>
      </w:hyperlink>
      <w:r>
        <w:t xml:space="preserve">.</w:t>
      </w:r>
    </w:p>
    <w:bookmarkEnd w:id="83"/>
    <w:bookmarkStart w:id="85"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84">
        <w:r>
          <w:rPr>
            <w:rStyle w:val="Hyperlink"/>
          </w:rPr>
          <w:t xml:space="preserve">10.1016/j.bbabio.2008.03.007</w:t>
        </w:r>
      </w:hyperlink>
      <w:r>
        <w:t xml:space="preserve">.</w:t>
      </w:r>
    </w:p>
    <w:bookmarkEnd w:id="85"/>
    <w:bookmarkStart w:id="87"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86">
        <w:r>
          <w:rPr>
            <w:rStyle w:val="Hyperlink"/>
          </w:rPr>
          <w:t xml:space="preserve">10.1074/jbc.M112.342543</w:t>
        </w:r>
      </w:hyperlink>
      <w:r>
        <w:t xml:space="preserve">.</w:t>
      </w:r>
    </w:p>
    <w:bookmarkEnd w:id="87"/>
    <w:bookmarkStart w:id="89"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88">
        <w:r>
          <w:rPr>
            <w:rStyle w:val="Hyperlink"/>
          </w:rPr>
          <w:t xml:space="preserve">10.1002/2017JC013263</w:t>
        </w:r>
      </w:hyperlink>
      <w:r>
        <w:t xml:space="preserve">.</w:t>
      </w:r>
    </w:p>
    <w:bookmarkEnd w:id="89"/>
    <w:bookmarkStart w:id="91"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90">
        <w:r>
          <w:rPr>
            <w:rStyle w:val="Hyperlink"/>
          </w:rPr>
          <w:t xml:space="preserve">10.1038/s41467-024-51636-8</w:t>
        </w:r>
      </w:hyperlink>
      <w:r>
        <w:t xml:space="preserve">.</w:t>
      </w:r>
    </w:p>
    <w:bookmarkEnd w:id="91"/>
    <w:bookmarkStart w:id="93"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92">
        <w:r>
          <w:rPr>
            <w:rStyle w:val="Hyperlink"/>
          </w:rPr>
          <w:t xml:space="preserve">10.1016/j.algal.2023.103220</w:t>
        </w:r>
      </w:hyperlink>
      <w:r>
        <w:t xml:space="preserve">.</w:t>
      </w:r>
    </w:p>
    <w:bookmarkEnd w:id="93"/>
    <w:bookmarkStart w:id="95"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94">
        <w:r>
          <w:rPr>
            <w:rStyle w:val="Hyperlink"/>
          </w:rPr>
          <w:t xml:space="preserve">10.1016/j.febslet.2006.04.018</w:t>
        </w:r>
      </w:hyperlink>
      <w:r>
        <w:t xml:space="preserve">.</w:t>
      </w:r>
    </w:p>
    <w:bookmarkEnd w:id="95"/>
    <w:bookmarkStart w:id="97"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96">
        <w:r>
          <w:rPr>
            <w:rStyle w:val="Hyperlink"/>
          </w:rPr>
          <w:t xml:space="preserve">10.1034/j.1399-3054.2003.00225.x</w:t>
        </w:r>
      </w:hyperlink>
      <w:r>
        <w:t xml:space="preserve">.</w:t>
      </w:r>
    </w:p>
    <w:bookmarkEnd w:id="97"/>
    <w:bookmarkStart w:id="99"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98">
        <w:r>
          <w:rPr>
            <w:rStyle w:val="Hyperlink"/>
          </w:rPr>
          <w:t xml:space="preserve">10.1007/BF00236984</w:t>
        </w:r>
      </w:hyperlink>
      <w:r>
        <w:t xml:space="preserve">.</w:t>
      </w:r>
    </w:p>
    <w:bookmarkEnd w:id="99"/>
    <w:bookmarkStart w:id="101"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00">
        <w:r>
          <w:rPr>
            <w:rStyle w:val="Hyperlink"/>
          </w:rPr>
          <w:t xml:space="preserve">10.1073/pnas.94.4.1579</w:t>
        </w:r>
      </w:hyperlink>
      <w:r>
        <w:t xml:space="preserve">.</w:t>
      </w:r>
    </w:p>
    <w:bookmarkEnd w:id="101"/>
    <w:bookmarkStart w:id="102"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02"/>
    <w:bookmarkStart w:id="104"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03">
        <w:r>
          <w:rPr>
            <w:rStyle w:val="Hyperlink"/>
          </w:rPr>
          <w:t xml:space="preserve">10.1016/S0005-2728(98)00135-2</w:t>
        </w:r>
      </w:hyperlink>
      <w:r>
        <w:t xml:space="preserve">.</w:t>
      </w:r>
    </w:p>
    <w:bookmarkEnd w:id="104"/>
    <w:bookmarkStart w:id="106"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05">
        <w:r>
          <w:rPr>
            <w:rStyle w:val="Hyperlink"/>
          </w:rPr>
          <w:t xml:space="preserve">10.1093/jxb/erj183</w:t>
        </w:r>
      </w:hyperlink>
      <w:r>
        <w:t xml:space="preserve">.</w:t>
      </w:r>
    </w:p>
    <w:bookmarkEnd w:id="106"/>
    <w:bookmarkStart w:id="108"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07">
        <w:r>
          <w:rPr>
            <w:rStyle w:val="Hyperlink"/>
          </w:rPr>
          <w:t xml:space="preserve">10.1016/j.pocean.2015.07.012</w:t>
        </w:r>
      </w:hyperlink>
      <w:r>
        <w:t xml:space="preserve">.</w:t>
      </w:r>
    </w:p>
    <w:bookmarkEnd w:id="108"/>
    <w:bookmarkStart w:id="110"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09">
        <w:r>
          <w:rPr>
            <w:rStyle w:val="Hyperlink"/>
          </w:rPr>
          <w:t xml:space="preserve">10.1007/s00114-014-1223-x</w:t>
        </w:r>
      </w:hyperlink>
      <w:r>
        <w:t xml:space="preserve">.</w:t>
      </w:r>
    </w:p>
    <w:bookmarkEnd w:id="110"/>
    <w:bookmarkStart w:id="112"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11">
        <w:r>
          <w:rPr>
            <w:rStyle w:val="Hyperlink"/>
          </w:rPr>
          <w:t xml:space="preserve">10.1128/AEM.00478-16</w:t>
        </w:r>
      </w:hyperlink>
      <w:r>
        <w:t xml:space="preserve">.</w:t>
      </w:r>
    </w:p>
    <w:bookmarkEnd w:id="112"/>
    <w:bookmarkStart w:id="114"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13">
        <w:r>
          <w:rPr>
            <w:rStyle w:val="Hyperlink"/>
          </w:rPr>
          <w:t xml:space="preserve">10.3390/biology3010056</w:t>
        </w:r>
      </w:hyperlink>
      <w:r>
        <w:t xml:space="preserve">.</w:t>
      </w:r>
    </w:p>
    <w:bookmarkEnd w:id="114"/>
    <w:bookmarkStart w:id="116"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15">
        <w:r>
          <w:rPr>
            <w:rStyle w:val="Hyperlink"/>
          </w:rPr>
          <w:t xml:space="preserve">10.1038/nature20803</w:t>
        </w:r>
      </w:hyperlink>
      <w:r>
        <w:t xml:space="preserve">.</w:t>
      </w:r>
    </w:p>
    <w:bookmarkEnd w:id="116"/>
    <w:bookmarkStart w:id="118"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17">
        <w:r>
          <w:rPr>
            <w:rStyle w:val="Hyperlink"/>
          </w:rPr>
          <w:t xml:space="preserve">10.3389/fpls.2020.619064</w:t>
        </w:r>
      </w:hyperlink>
      <w:r>
        <w:t xml:space="preserve">.</w:t>
      </w:r>
    </w:p>
    <w:bookmarkEnd w:id="118"/>
    <w:bookmarkStart w:id="120"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19">
        <w:r>
          <w:rPr>
            <w:rStyle w:val="Hyperlink"/>
          </w:rPr>
          <w:t xml:space="preserve">10.1021/cr0206014</w:t>
        </w:r>
      </w:hyperlink>
      <w:r>
        <w:t xml:space="preserve">.</w:t>
      </w:r>
    </w:p>
    <w:bookmarkEnd w:id="120"/>
    <w:bookmarkStart w:id="122"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21">
        <w:r>
          <w:rPr>
            <w:rStyle w:val="Hyperlink"/>
          </w:rPr>
          <w:t xml:space="preserve">10.1111/jpy.13325</w:t>
        </w:r>
      </w:hyperlink>
      <w:r>
        <w:t xml:space="preserve">.</w:t>
      </w:r>
    </w:p>
    <w:bookmarkEnd w:id="122"/>
    <w:bookmarkStart w:id="124"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23">
        <w:r>
          <w:rPr>
            <w:rStyle w:val="Hyperlink"/>
          </w:rPr>
          <w:t xml:space="preserve">10.1146/annurev-marine-010419-010706</w:t>
        </w:r>
      </w:hyperlink>
      <w:r>
        <w:t xml:space="preserve">.</w:t>
      </w:r>
    </w:p>
    <w:bookmarkEnd w:id="124"/>
    <w:bookmarkStart w:id="126"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25">
        <w:r>
          <w:rPr>
            <w:rStyle w:val="Hyperlink"/>
          </w:rPr>
          <w:t xml:space="preserve">10.3390/math9040299</w:t>
        </w:r>
      </w:hyperlink>
      <w:r>
        <w:t xml:space="preserve">.</w:t>
      </w:r>
    </w:p>
    <w:bookmarkEnd w:id="126"/>
    <w:bookmarkStart w:id="127"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27"/>
    <w:bookmarkStart w:id="129"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28">
        <w:r>
          <w:rPr>
            <w:rStyle w:val="Hyperlink"/>
          </w:rPr>
          <w:t xml:space="preserve">10.1111/jpy.13362</w:t>
        </w:r>
      </w:hyperlink>
      <w:r>
        <w:t xml:space="preserve">.</w:t>
      </w:r>
    </w:p>
    <w:bookmarkEnd w:id="129"/>
    <w:bookmarkStart w:id="130"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130"/>
    <w:bookmarkStart w:id="132"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131">
        <w:r>
          <w:rPr>
            <w:rStyle w:val="Hyperlink"/>
          </w:rPr>
          <w:t xml:space="preserve">10.1126/sciadv.abc2678</w:t>
        </w:r>
      </w:hyperlink>
      <w:r>
        <w:t xml:space="preserve">.</w:t>
      </w:r>
    </w:p>
    <w:bookmarkEnd w:id="132"/>
    <w:bookmarkStart w:id="134"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133">
        <w:r>
          <w:rPr>
            <w:rStyle w:val="Hyperlink"/>
          </w:rPr>
          <w:t xml:space="preserve">10.1529/biophysj.104.050237</w:t>
        </w:r>
      </w:hyperlink>
      <w:r>
        <w:t xml:space="preserve">.</w:t>
      </w:r>
    </w:p>
    <w:bookmarkEnd w:id="134"/>
    <w:bookmarkStart w:id="136"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135">
        <w:r>
          <w:rPr>
            <w:rStyle w:val="Hyperlink"/>
          </w:rPr>
          <w:t xml:space="preserve">10.1021/bi025725p</w:t>
        </w:r>
      </w:hyperlink>
      <w:r>
        <w:t xml:space="preserve">.</w:t>
      </w:r>
    </w:p>
    <w:bookmarkEnd w:id="136"/>
    <w:bookmarkStart w:id="138"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137">
        <w:r>
          <w:rPr>
            <w:rStyle w:val="Hyperlink"/>
          </w:rPr>
          <w:t xml:space="preserve">10.1017/S0025315499001526</w:t>
        </w:r>
      </w:hyperlink>
      <w:r>
        <w:t xml:space="preserve">.</w:t>
      </w:r>
    </w:p>
    <w:bookmarkEnd w:id="138"/>
    <w:bookmarkStart w:id="140"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139">
        <w:r>
          <w:rPr>
            <w:rStyle w:val="Hyperlink"/>
          </w:rPr>
          <w:t xml:space="preserve">10.1111/j.1529-8817.1995.tb02544.x</w:t>
        </w:r>
      </w:hyperlink>
      <w:r>
        <w:t xml:space="preserve">.</w:t>
      </w:r>
    </w:p>
    <w:bookmarkEnd w:id="140"/>
    <w:bookmarkStart w:id="142" w:name="ref-R-broom"/>
    <w:p>
      <w:pPr>
        <w:pStyle w:val="Bibliography"/>
      </w:pPr>
      <w:r>
        <w:t xml:space="preserve">Robinson, D., Hayes, A., and Couch, S. (2024).</w:t>
      </w:r>
      <w:r>
        <w:t xml:space="preserve"> </w:t>
      </w:r>
      <w:r>
        <w:rPr>
          <w:i/>
          <w:iCs/>
        </w:rPr>
        <w:t xml:space="preserve">Broom: Convert statistical objects into tidy tibbles</w:t>
      </w:r>
      <w:r>
        <w:t xml:space="preserve">. Available at:</w:t>
      </w:r>
      <w:r>
        <w:t xml:space="preserve"> </w:t>
      </w:r>
      <w:hyperlink r:id="rId141">
        <w:r>
          <w:rPr>
            <w:rStyle w:val="Hyperlink"/>
          </w:rPr>
          <w:t xml:space="preserve">https://broom.tidymodels.org/</w:t>
        </w:r>
      </w:hyperlink>
      <w:r>
        <w:t xml:space="preserve">.</w:t>
      </w:r>
    </w:p>
    <w:bookmarkEnd w:id="142"/>
    <w:bookmarkStart w:id="144"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143">
        <w:r>
          <w:rPr>
            <w:rStyle w:val="Hyperlink"/>
          </w:rPr>
          <w:t xml:space="preserve">10.1016/j.febslet.2011.12.039</w:t>
        </w:r>
      </w:hyperlink>
      <w:r>
        <w:t xml:space="preserve">.</w:t>
      </w:r>
    </w:p>
    <w:bookmarkEnd w:id="144"/>
    <w:bookmarkStart w:id="146"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145">
        <w:r>
          <w:rPr>
            <w:rStyle w:val="Hyperlink"/>
          </w:rPr>
          <w:t xml:space="preserve">10.1104/pp.103.022939</w:t>
        </w:r>
      </w:hyperlink>
      <w:r>
        <w:t xml:space="preserve">.</w:t>
      </w:r>
    </w:p>
    <w:bookmarkEnd w:id="146"/>
    <w:bookmarkStart w:id="148"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147">
        <w:r>
          <w:rPr>
            <w:rStyle w:val="Hyperlink"/>
          </w:rPr>
          <w:t xml:space="preserve">10.1074/jbc.M200444200</w:t>
        </w:r>
      </w:hyperlink>
      <w:r>
        <w:t xml:space="preserve">.</w:t>
      </w:r>
    </w:p>
    <w:bookmarkEnd w:id="148"/>
    <w:bookmarkStart w:id="150"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149">
        <w:r>
          <w:rPr>
            <w:rStyle w:val="Hyperlink"/>
          </w:rPr>
          <w:t xml:space="preserve">10.7554/eLife.39233</w:t>
        </w:r>
      </w:hyperlink>
      <w:r>
        <w:t xml:space="preserve">.</w:t>
      </w:r>
    </w:p>
    <w:bookmarkEnd w:id="150"/>
    <w:bookmarkStart w:id="151"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w:t>
      </w:r>
      <w:r>
        <w:t xml:space="preserve">é</w:t>
      </w:r>
      <w:r>
        <w:t xml:space="preserve">bec Centre for Biodiversity Science.</w:t>
      </w:r>
    </w:p>
    <w:bookmarkEnd w:id="151"/>
    <w:bookmarkStart w:id="153"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152">
        <w:r>
          <w:rPr>
            <w:rStyle w:val="Hyperlink"/>
          </w:rPr>
          <w:t xml:space="preserve">10.3389/fmars.2021.690607</w:t>
        </w:r>
      </w:hyperlink>
      <w:r>
        <w:t xml:space="preserve">.</w:t>
      </w:r>
    </w:p>
    <w:bookmarkEnd w:id="153"/>
    <w:bookmarkStart w:id="155"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154">
        <w:r>
          <w:rPr>
            <w:rStyle w:val="Hyperlink"/>
          </w:rPr>
          <w:t xml:space="preserve">10.1016/B978-0-12-819460-7.00012-8</w:t>
        </w:r>
      </w:hyperlink>
      <w:r>
        <w:t xml:space="preserve">.</w:t>
      </w:r>
    </w:p>
    <w:bookmarkEnd w:id="155"/>
    <w:bookmarkStart w:id="157"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156">
        <w:r>
          <w:rPr>
            <w:rStyle w:val="Hyperlink"/>
          </w:rPr>
          <w:t xml:space="preserve">10.1007/s11120-022-00991-y</w:t>
        </w:r>
      </w:hyperlink>
      <w:r>
        <w:t xml:space="preserve">.</w:t>
      </w:r>
    </w:p>
    <w:bookmarkEnd w:id="157"/>
    <w:bookmarkStart w:id="159"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158">
        <w:r>
          <w:rPr>
            <w:rStyle w:val="Hyperlink"/>
          </w:rPr>
          <w:t xml:space="preserve">https://lubridate.tidyverse.org</w:t>
        </w:r>
      </w:hyperlink>
      <w:r>
        <w:t xml:space="preserve">.</w:t>
      </w:r>
    </w:p>
    <w:bookmarkEnd w:id="159"/>
    <w:bookmarkStart w:id="161"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160">
        <w:r>
          <w:rPr>
            <w:rStyle w:val="Hyperlink"/>
          </w:rPr>
          <w:t xml:space="preserve">10.1007/s11120-021-00877-5</w:t>
        </w:r>
      </w:hyperlink>
      <w:r>
        <w:t xml:space="preserve">.</w:t>
      </w:r>
    </w:p>
    <w:bookmarkEnd w:id="161"/>
    <w:bookmarkStart w:id="162"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162"/>
    <w:bookmarkStart w:id="164"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163">
        <w:r>
          <w:rPr>
            <w:rStyle w:val="Hyperlink"/>
          </w:rPr>
          <w:t xml:space="preserve">10.1111/j.1399-3054.2011.01454.x</w:t>
        </w:r>
      </w:hyperlink>
      <w:r>
        <w:t xml:space="preserve">.</w:t>
      </w:r>
    </w:p>
    <w:bookmarkEnd w:id="164"/>
    <w:bookmarkStart w:id="166"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165">
        <w:r>
          <w:rPr>
            <w:rStyle w:val="Hyperlink"/>
          </w:rPr>
          <w:t xml:space="preserve">10.1016/j.tplants.2009.01.009</w:t>
        </w:r>
      </w:hyperlink>
      <w:r>
        <w:t xml:space="preserve">.</w:t>
      </w:r>
    </w:p>
    <w:bookmarkEnd w:id="166"/>
    <w:bookmarkStart w:id="168"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167">
        <w:r>
          <w:rPr>
            <w:rStyle w:val="Hyperlink"/>
          </w:rPr>
          <w:t xml:space="preserve">10.1146/annurev-biochem-070511-100425</w:t>
        </w:r>
      </w:hyperlink>
      <w:r>
        <w:t xml:space="preserve">.</w:t>
      </w:r>
    </w:p>
    <w:bookmarkEnd w:id="168"/>
    <w:bookmarkStart w:id="170"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169">
        <w:r>
          <w:rPr>
            <w:rStyle w:val="Hyperlink"/>
          </w:rPr>
          <w:t xml:space="preserve">https://tidyverse.tidyverse.org</w:t>
        </w:r>
      </w:hyperlink>
      <w:r>
        <w:t xml:space="preserve">.</w:t>
      </w:r>
    </w:p>
    <w:bookmarkEnd w:id="170"/>
    <w:bookmarkStart w:id="172"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171">
        <w:r>
          <w:rPr>
            <w:rStyle w:val="Hyperlink"/>
          </w:rPr>
          <w:t xml:space="preserve">10.1039/C6RA25837A</w:t>
        </w:r>
      </w:hyperlink>
      <w:r>
        <w:t xml:space="preserve">.</w:t>
      </w:r>
    </w:p>
    <w:bookmarkEnd w:id="172"/>
    <w:bookmarkStart w:id="173"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173"/>
    <w:bookmarkStart w:id="175"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174">
        <w:r>
          <w:rPr>
            <w:rStyle w:val="Hyperlink"/>
          </w:rPr>
          <w:t xml:space="preserve">10.1038/ismej.2013.43</w:t>
        </w:r>
      </w:hyperlink>
      <w:r>
        <w:t xml:space="preserve">.</w:t>
      </w:r>
    </w:p>
    <w:bookmarkEnd w:id="175"/>
    <w:bookmarkStart w:id="177"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176">
        <w:r>
          <w:rPr>
            <w:rStyle w:val="Hyperlink"/>
          </w:rPr>
          <w:t xml:space="preserve">https://yihui.org/knitr/</w:t>
        </w:r>
      </w:hyperlink>
      <w:r>
        <w:t xml:space="preserve">.</w:t>
      </w:r>
    </w:p>
    <w:bookmarkEnd w:id="177"/>
    <w:bookmarkStart w:id="179"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178">
        <w:r>
          <w:rPr>
            <w:rStyle w:val="Hyperlink"/>
          </w:rPr>
          <w:t xml:space="preserve">10.3389/fmars.2018.00281</w:t>
        </w:r>
      </w:hyperlink>
      <w:r>
        <w:t xml:space="preserve">.</w:t>
      </w:r>
    </w:p>
    <w:bookmarkEnd w:id="179"/>
    <w:bookmarkStart w:id="181" w:name="Xa83c6ee1609ec68213ba07699775f95d8692580"/>
    <w:p>
      <w:pPr>
        <w:pStyle w:val="Bibliography"/>
      </w:pPr>
      <w:r>
        <w:t xml:space="preserve">Yager, R. M. (1998). Detecting influential observations in nonlinear regression modeling of groundwater flow.</w:t>
      </w:r>
      <w:r>
        <w:t xml:space="preserve"> </w:t>
      </w:r>
      <w:r>
        <w:rPr>
          <w:i/>
          <w:iCs/>
        </w:rPr>
        <w:t xml:space="preserve">Water Resources Research</w:t>
      </w:r>
      <w:r>
        <w:t xml:space="preserve"> </w:t>
      </w:r>
      <w:r>
        <w:t xml:space="preserve">34, 1623–1633. doi:</w:t>
      </w:r>
      <w:hyperlink r:id="rId180">
        <w:r>
          <w:rPr>
            <w:rStyle w:val="Hyperlink"/>
          </w:rPr>
          <w:t xml:space="preserve">10.1029/98WR01010</w:t>
        </w:r>
      </w:hyperlink>
      <w:r>
        <w:t xml:space="preserve">.</w:t>
      </w:r>
    </w:p>
    <w:bookmarkEnd w:id="181"/>
    <w:bookmarkStart w:id="182"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182"/>
    <w:bookmarkStart w:id="184"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183">
        <w:r>
          <w:rPr>
            <w:rStyle w:val="Hyperlink"/>
          </w:rPr>
          <w:t xml:space="preserve">http://haozhu233.github.io/kableExtra/</w:t>
        </w:r>
      </w:hyperlink>
      <w:r>
        <w:t xml:space="preserve">.</w:t>
      </w:r>
    </w:p>
    <w:bookmarkEnd w:id="184"/>
    <w:bookmarkEnd w:id="185"/>
    <w:bookmarkEnd w:id="186"/>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hyperlink" Id="rId183" Target="http://haozhu233.github.io/kableExtra/" TargetMode="External" /><Relationship Type="http://schemas.openxmlformats.org/officeDocument/2006/relationships/hyperlink" Id="rId141" Target="https://broom.tidymodels.org/" TargetMode="External" /><Relationship Type="http://schemas.openxmlformats.org/officeDocument/2006/relationships/hyperlink" Id="rId88" Target="https://doi.org/10.1002/2017JC013263" TargetMode="External" /><Relationship Type="http://schemas.openxmlformats.org/officeDocument/2006/relationships/hyperlink" Id="rId98" Target="https://doi.org/10.1007/BF00236984" TargetMode="External" /><Relationship Type="http://schemas.openxmlformats.org/officeDocument/2006/relationships/hyperlink" Id="rId109"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60" Target="https://doi.org/10.1007/s11120-021-00877-5" TargetMode="External" /><Relationship Type="http://schemas.openxmlformats.org/officeDocument/2006/relationships/hyperlink" Id="rId156" Target="https://doi.org/10.1007/s11120-022-00991-y" TargetMode="External" /><Relationship Type="http://schemas.openxmlformats.org/officeDocument/2006/relationships/hyperlink" Id="rId154" Target="https://doi.org/10.1016/B978-0-12-819460-7.00012-8" TargetMode="External" /><Relationship Type="http://schemas.openxmlformats.org/officeDocument/2006/relationships/hyperlink" Id="rId103" Target="https://doi.org/10.1016/S0005-2728(98)00135-2" TargetMode="External" /><Relationship Type="http://schemas.openxmlformats.org/officeDocument/2006/relationships/hyperlink" Id="rId92" Target="https://doi.org/10.1016/j.algal.2023.103220" TargetMode="External" /><Relationship Type="http://schemas.openxmlformats.org/officeDocument/2006/relationships/hyperlink" Id="rId84"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4" Target="https://doi.org/10.1016/j.febslet.2006.04.018" TargetMode="External" /><Relationship Type="http://schemas.openxmlformats.org/officeDocument/2006/relationships/hyperlink" Id="rId143" Target="https://doi.org/10.1016/j.febslet.2011.12.039" TargetMode="External" /><Relationship Type="http://schemas.openxmlformats.org/officeDocument/2006/relationships/hyperlink" Id="rId107" Target="https://doi.org/10.1016/j.pocean.2015.07.012" TargetMode="External" /><Relationship Type="http://schemas.openxmlformats.org/officeDocument/2006/relationships/hyperlink" Id="rId165" Target="https://doi.org/10.1016/j.tplants.2009.01.009" TargetMode="External" /><Relationship Type="http://schemas.openxmlformats.org/officeDocument/2006/relationships/hyperlink" Id="rId137" Target="https://doi.org/10.1017/S0025315499001526" TargetMode="External" /><Relationship Type="http://schemas.openxmlformats.org/officeDocument/2006/relationships/hyperlink" Id="rId135" Target="https://doi.org/10.1021/bi025725p" TargetMode="External" /><Relationship Type="http://schemas.openxmlformats.org/officeDocument/2006/relationships/hyperlink" Id="rId119"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80" Target="https://doi.org/10.1029/98WR01010" TargetMode="External" /><Relationship Type="http://schemas.openxmlformats.org/officeDocument/2006/relationships/hyperlink" Id="rId96" Target="https://doi.org/10.1034/j.1399-3054.2003.00225.x" TargetMode="External" /><Relationship Type="http://schemas.openxmlformats.org/officeDocument/2006/relationships/hyperlink" Id="rId174" Target="https://doi.org/10.1038/ismej.2013.43" TargetMode="External" /><Relationship Type="http://schemas.openxmlformats.org/officeDocument/2006/relationships/hyperlink" Id="rId115" Target="https://doi.org/10.1038/nature20803" TargetMode="External" /><Relationship Type="http://schemas.openxmlformats.org/officeDocument/2006/relationships/hyperlink" Id="rId90"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71" Target="https://doi.org/10.1039/C6RA25837A" TargetMode="External" /><Relationship Type="http://schemas.openxmlformats.org/officeDocument/2006/relationships/hyperlink" Id="rId82" Target="https://doi.org/10.1039/D2SC00854H" TargetMode="External" /><Relationship Type="http://schemas.openxmlformats.org/officeDocument/2006/relationships/hyperlink" Id="rId100" Target="https://doi.org/10.1073/pnas.94.4.1579" TargetMode="External" /><Relationship Type="http://schemas.openxmlformats.org/officeDocument/2006/relationships/hyperlink" Id="rId86" Target="https://doi.org/10.1074/jbc.M112.342543" TargetMode="External" /><Relationship Type="http://schemas.openxmlformats.org/officeDocument/2006/relationships/hyperlink" Id="rId147" Target="https://doi.org/10.1074/jbc.M200444200" TargetMode="External" /><Relationship Type="http://schemas.openxmlformats.org/officeDocument/2006/relationships/hyperlink" Id="rId105" Target="https://doi.org/10.1093/jxb/erj183" TargetMode="External" /><Relationship Type="http://schemas.openxmlformats.org/officeDocument/2006/relationships/hyperlink" Id="rId145" Target="https://doi.org/10.1104/pp.103.022939" TargetMode="External" /><Relationship Type="http://schemas.openxmlformats.org/officeDocument/2006/relationships/hyperlink" Id="rId163" Target="https://doi.org/10.1111/j.1399-3054.2011.01454.x" TargetMode="External" /><Relationship Type="http://schemas.openxmlformats.org/officeDocument/2006/relationships/hyperlink" Id="rId139" Target="https://doi.org/10.1111/j.1529-8817.1995.tb02544.x" TargetMode="External" /><Relationship Type="http://schemas.openxmlformats.org/officeDocument/2006/relationships/hyperlink" Id="rId121" Target="https://doi.org/10.1111/jpy.13325" TargetMode="External" /><Relationship Type="http://schemas.openxmlformats.org/officeDocument/2006/relationships/hyperlink" Id="rId128"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31" Target="https://doi.org/10.1126/sciadv.abc2678" TargetMode="External" /><Relationship Type="http://schemas.openxmlformats.org/officeDocument/2006/relationships/hyperlink" Id="rId111" Target="https://doi.org/10.1128/AEM.00478-16" TargetMode="External" /><Relationship Type="http://schemas.openxmlformats.org/officeDocument/2006/relationships/hyperlink" Id="rId167" Target="https://doi.org/10.1146/annurev-biochem-070511-100425" TargetMode="External" /><Relationship Type="http://schemas.openxmlformats.org/officeDocument/2006/relationships/hyperlink" Id="rId123" Target="https://doi.org/10.1146/annurev-marine-010419-010706" TargetMode="External" /><Relationship Type="http://schemas.openxmlformats.org/officeDocument/2006/relationships/hyperlink" Id="rId133" Target="https://doi.org/10.1529/biophysj.104.050237" TargetMode="External" /><Relationship Type="http://schemas.openxmlformats.org/officeDocument/2006/relationships/hyperlink" Id="rId178" Target="https://doi.org/10.3389/fmars.2018.00281" TargetMode="External" /><Relationship Type="http://schemas.openxmlformats.org/officeDocument/2006/relationships/hyperlink" Id="rId152" Target="https://doi.org/10.3389/fmars.2021.690607" TargetMode="External" /><Relationship Type="http://schemas.openxmlformats.org/officeDocument/2006/relationships/hyperlink" Id="rId117" Target="https://doi.org/10.3389/fpls.2020.619064" TargetMode="External" /><Relationship Type="http://schemas.openxmlformats.org/officeDocument/2006/relationships/hyperlink" Id="rId113" Target="https://doi.org/10.3390/biology3010056" TargetMode="External" /><Relationship Type="http://schemas.openxmlformats.org/officeDocument/2006/relationships/hyperlink" Id="rId125"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9" Target="https://doi.org/10.7554/eLife.39233" TargetMode="External" /><Relationship Type="http://schemas.openxmlformats.org/officeDocument/2006/relationships/hyperlink" Id="rId80" Target="https://github.com/hojsgaard/doBy" TargetMode="External" /><Relationship Type="http://schemas.openxmlformats.org/officeDocument/2006/relationships/hyperlink" Id="rId64" Target="https://googlesheets4.tidyverse.org" TargetMode="External" /><Relationship Type="http://schemas.openxmlformats.org/officeDocument/2006/relationships/hyperlink" Id="rId158" Target="https://lubridate.tidyverse.org" TargetMode="External" /><Relationship Type="http://schemas.openxmlformats.org/officeDocument/2006/relationships/hyperlink" Id="rId169" Target="https://tidyverse.tidyverse.org" TargetMode="External" /><Relationship Type="http://schemas.openxmlformats.org/officeDocument/2006/relationships/hyperlink" Id="rId176"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183" Target="http://haozhu233.github.io/kableExtra/" TargetMode="External" /><Relationship Type="http://schemas.openxmlformats.org/officeDocument/2006/relationships/hyperlink" Id="rId141" Target="https://broom.tidymodels.org/" TargetMode="External" /><Relationship Type="http://schemas.openxmlformats.org/officeDocument/2006/relationships/hyperlink" Id="rId88" Target="https://doi.org/10.1002/2017JC013263" TargetMode="External" /><Relationship Type="http://schemas.openxmlformats.org/officeDocument/2006/relationships/hyperlink" Id="rId98" Target="https://doi.org/10.1007/BF00236984" TargetMode="External" /><Relationship Type="http://schemas.openxmlformats.org/officeDocument/2006/relationships/hyperlink" Id="rId109"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60" Target="https://doi.org/10.1007/s11120-021-00877-5" TargetMode="External" /><Relationship Type="http://schemas.openxmlformats.org/officeDocument/2006/relationships/hyperlink" Id="rId156" Target="https://doi.org/10.1007/s11120-022-00991-y" TargetMode="External" /><Relationship Type="http://schemas.openxmlformats.org/officeDocument/2006/relationships/hyperlink" Id="rId154" Target="https://doi.org/10.1016/B978-0-12-819460-7.00012-8" TargetMode="External" /><Relationship Type="http://schemas.openxmlformats.org/officeDocument/2006/relationships/hyperlink" Id="rId103" Target="https://doi.org/10.1016/S0005-2728(98)00135-2" TargetMode="External" /><Relationship Type="http://schemas.openxmlformats.org/officeDocument/2006/relationships/hyperlink" Id="rId92" Target="https://doi.org/10.1016/j.algal.2023.103220" TargetMode="External" /><Relationship Type="http://schemas.openxmlformats.org/officeDocument/2006/relationships/hyperlink" Id="rId84"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4" Target="https://doi.org/10.1016/j.febslet.2006.04.018" TargetMode="External" /><Relationship Type="http://schemas.openxmlformats.org/officeDocument/2006/relationships/hyperlink" Id="rId143" Target="https://doi.org/10.1016/j.febslet.2011.12.039" TargetMode="External" /><Relationship Type="http://schemas.openxmlformats.org/officeDocument/2006/relationships/hyperlink" Id="rId107" Target="https://doi.org/10.1016/j.pocean.2015.07.012" TargetMode="External" /><Relationship Type="http://schemas.openxmlformats.org/officeDocument/2006/relationships/hyperlink" Id="rId165" Target="https://doi.org/10.1016/j.tplants.2009.01.009" TargetMode="External" /><Relationship Type="http://schemas.openxmlformats.org/officeDocument/2006/relationships/hyperlink" Id="rId137" Target="https://doi.org/10.1017/S0025315499001526" TargetMode="External" /><Relationship Type="http://schemas.openxmlformats.org/officeDocument/2006/relationships/hyperlink" Id="rId135" Target="https://doi.org/10.1021/bi025725p" TargetMode="External" /><Relationship Type="http://schemas.openxmlformats.org/officeDocument/2006/relationships/hyperlink" Id="rId119"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80" Target="https://doi.org/10.1029/98WR01010" TargetMode="External" /><Relationship Type="http://schemas.openxmlformats.org/officeDocument/2006/relationships/hyperlink" Id="rId96" Target="https://doi.org/10.1034/j.1399-3054.2003.00225.x" TargetMode="External" /><Relationship Type="http://schemas.openxmlformats.org/officeDocument/2006/relationships/hyperlink" Id="rId174" Target="https://doi.org/10.1038/ismej.2013.43" TargetMode="External" /><Relationship Type="http://schemas.openxmlformats.org/officeDocument/2006/relationships/hyperlink" Id="rId115" Target="https://doi.org/10.1038/nature20803" TargetMode="External" /><Relationship Type="http://schemas.openxmlformats.org/officeDocument/2006/relationships/hyperlink" Id="rId90"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71" Target="https://doi.org/10.1039/C6RA25837A" TargetMode="External" /><Relationship Type="http://schemas.openxmlformats.org/officeDocument/2006/relationships/hyperlink" Id="rId82" Target="https://doi.org/10.1039/D2SC00854H" TargetMode="External" /><Relationship Type="http://schemas.openxmlformats.org/officeDocument/2006/relationships/hyperlink" Id="rId100" Target="https://doi.org/10.1073/pnas.94.4.1579" TargetMode="External" /><Relationship Type="http://schemas.openxmlformats.org/officeDocument/2006/relationships/hyperlink" Id="rId86" Target="https://doi.org/10.1074/jbc.M112.342543" TargetMode="External" /><Relationship Type="http://schemas.openxmlformats.org/officeDocument/2006/relationships/hyperlink" Id="rId147" Target="https://doi.org/10.1074/jbc.M200444200" TargetMode="External" /><Relationship Type="http://schemas.openxmlformats.org/officeDocument/2006/relationships/hyperlink" Id="rId105" Target="https://doi.org/10.1093/jxb/erj183" TargetMode="External" /><Relationship Type="http://schemas.openxmlformats.org/officeDocument/2006/relationships/hyperlink" Id="rId145" Target="https://doi.org/10.1104/pp.103.022939" TargetMode="External" /><Relationship Type="http://schemas.openxmlformats.org/officeDocument/2006/relationships/hyperlink" Id="rId163" Target="https://doi.org/10.1111/j.1399-3054.2011.01454.x" TargetMode="External" /><Relationship Type="http://schemas.openxmlformats.org/officeDocument/2006/relationships/hyperlink" Id="rId139" Target="https://doi.org/10.1111/j.1529-8817.1995.tb02544.x" TargetMode="External" /><Relationship Type="http://schemas.openxmlformats.org/officeDocument/2006/relationships/hyperlink" Id="rId121" Target="https://doi.org/10.1111/jpy.13325" TargetMode="External" /><Relationship Type="http://schemas.openxmlformats.org/officeDocument/2006/relationships/hyperlink" Id="rId128"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31" Target="https://doi.org/10.1126/sciadv.abc2678" TargetMode="External" /><Relationship Type="http://schemas.openxmlformats.org/officeDocument/2006/relationships/hyperlink" Id="rId111" Target="https://doi.org/10.1128/AEM.00478-16" TargetMode="External" /><Relationship Type="http://schemas.openxmlformats.org/officeDocument/2006/relationships/hyperlink" Id="rId167" Target="https://doi.org/10.1146/annurev-biochem-070511-100425" TargetMode="External" /><Relationship Type="http://schemas.openxmlformats.org/officeDocument/2006/relationships/hyperlink" Id="rId123" Target="https://doi.org/10.1146/annurev-marine-010419-010706" TargetMode="External" /><Relationship Type="http://schemas.openxmlformats.org/officeDocument/2006/relationships/hyperlink" Id="rId133" Target="https://doi.org/10.1529/biophysj.104.050237" TargetMode="External" /><Relationship Type="http://schemas.openxmlformats.org/officeDocument/2006/relationships/hyperlink" Id="rId178" Target="https://doi.org/10.3389/fmars.2018.00281" TargetMode="External" /><Relationship Type="http://schemas.openxmlformats.org/officeDocument/2006/relationships/hyperlink" Id="rId152" Target="https://doi.org/10.3389/fmars.2021.690607" TargetMode="External" /><Relationship Type="http://schemas.openxmlformats.org/officeDocument/2006/relationships/hyperlink" Id="rId117" Target="https://doi.org/10.3389/fpls.2020.619064" TargetMode="External" /><Relationship Type="http://schemas.openxmlformats.org/officeDocument/2006/relationships/hyperlink" Id="rId113" Target="https://doi.org/10.3390/biology3010056" TargetMode="External" /><Relationship Type="http://schemas.openxmlformats.org/officeDocument/2006/relationships/hyperlink" Id="rId125"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9" Target="https://doi.org/10.7554/eLife.39233" TargetMode="External" /><Relationship Type="http://schemas.openxmlformats.org/officeDocument/2006/relationships/hyperlink" Id="rId80" Target="https://github.com/hojsgaard/doBy" TargetMode="External" /><Relationship Type="http://schemas.openxmlformats.org/officeDocument/2006/relationships/hyperlink" Id="rId64" Target="https://googlesheets4.tidyverse.org" TargetMode="External" /><Relationship Type="http://schemas.openxmlformats.org/officeDocument/2006/relationships/hyperlink" Id="rId158" Target="https://lubridate.tidyverse.org" TargetMode="External" /><Relationship Type="http://schemas.openxmlformats.org/officeDocument/2006/relationships/hyperlink" Id="rId169" Target="https://tidyverse.tidyverse.org" TargetMode="External" /><Relationship Type="http://schemas.openxmlformats.org/officeDocument/2006/relationships/hyperlink" Id="rId176"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in Polar vs. Temperate Phytoplankton</dc:title>
  <dc:creator>Natasha M. Ryan1, Mackenzie Poirier3, Pomona Osmers3, Arthur Plassart2, Sébastien Guérin2, Marina Cvetkovska3, Marcel Babin2, Maximilian Berthold4, and Douglas A. Campbell1,✉</dc:creator>
  <cp:keywords/>
  <dcterms:created xsi:type="dcterms:W3CDTF">2025-03-27T20:07:55Z</dcterms:created>
  <dcterms:modified xsi:type="dcterms:W3CDTF">2025-03-27T20:07:55Z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2025-03-27</vt:lpwstr>
  </property>
  <property fmtid="{D5CDD505-2E9C-101B-9397-08002B2CF9AE}" pid="8" name="editor_options">
    <vt:lpwstr/>
  </property>
  <property fmtid="{D5CDD505-2E9C-101B-9397-08002B2CF9AE}" pid="9" name="output">
    <vt:lpwstr/>
  </property>
</Properties>
</file>