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Geographic Patterns in County-Level PM2.5 Monitoring Data Across Wisconsin, 2024</w:t>
      </w:r>
    </w:p>
    <w:p>
      <w:pPr>
        <w:pStyle w:val="Heading1"/>
      </w:pPr>
      <w:r>
        <w:t>Research question</w:t>
      </w:r>
    </w:p>
    <w:p>
      <w:r>
        <w:t>The core question is where monitored county-level PM2.5 means were highest in Wisconsin during 2024 and whether those monitored counties showed meaningful spatial clustering.</w:t>
      </w:r>
    </w:p>
    <w:p>
      <w:pPr>
        <w:pStyle w:val="Heading1"/>
      </w:pPr>
      <w:r>
        <w:t>Data and methods</w:t>
      </w:r>
    </w:p>
    <w:p>
      <w:r>
        <w:t>The rebuild combines a 72-county TIGER/Line boundary layer, user-supplied Wisconsin PM2.5 summary files, and benchmark county means preserved in the rebuild prompt. County FIPS codes were standardized, unmonitored counties were retained in statewide mapping, and spatial diagnostics were run under both legacy Queen and KNN weights.</w:t>
      </w:r>
    </w:p>
    <w:p>
      <w:pPr>
        <w:pStyle w:val="Heading1"/>
      </w:pPr>
      <w:r>
        <w:t>Main findings</w:t>
      </w:r>
    </w:p>
    <w:p>
      <w:r>
        <w:t>Sixteen monitored counties appear in the legacy benchmark snapshot. Grant County is the highest monitored county and Monroe County the lowest. The descriptive correlation between PM2.5 and log population density is 0.604, but that relationship should be read cautiously given the small monitored sample.</w:t>
      </w:r>
    </w:p>
    <w:p>
      <w:pPr>
        <w:pStyle w:val="Heading1"/>
      </w:pPr>
      <w:r>
        <w:t>Spatial-statistics caveat</w:t>
      </w:r>
    </w:p>
    <w:p>
      <w:r>
        <w:t>The original Queen contiguity graph among monitored counties is disconnected and contains islands, which makes local cluster labels fragile. The KNN sensitivity analysis removes zero-neighbor counties and offers a more interpretable robustness check.</w:t>
      </w:r>
    </w:p>
    <w:p>
      <w:pPr>
        <w:pStyle w:val="Heading1"/>
      </w:pPr>
      <w:r>
        <w:t>Limitations</w:t>
      </w:r>
    </w:p>
    <w:p>
      <w:r>
        <w:t>This remains a monitor-based county summary rather than a statewide exposure surface. Sparse monitoring coverage, siting effects, and missing raw daily observations prevent stronger claims.</w:t>
      </w:r>
    </w:p>
    <w:p>
      <w:pPr>
        <w:pStyle w:val="Heading1"/>
      </w:pPr>
      <w:r>
        <w:t>Policy relevance and future work</w:t>
      </w:r>
    </w:p>
    <w:p>
      <w:r>
        <w:t>The project is most useful as a transparent demonstration of reproducible geospatial workflow, careful source documentation, and honest communication of spatial-statistical uncertainty.</w:t>
      </w:r>
    </w:p>
    <w:p>
      <w:r>
        <w:t>The monitored-county range in this rebuild runs from 4.546 to 7.346 ug/m3.</w:t>
      </w:r>
    </w:p>
    <w:p>
      <w:r>
        <w:drawing>
          <wp:inline xmlns:a="http://schemas.openxmlformats.org/drawingml/2006/main" xmlns:pic="http://schemas.openxmlformats.org/drawingml/2006/picture">
            <wp:extent cx="5669280" cy="5240013"/>
            <wp:docPr id="1" name="Picture 1"/>
            <wp:cNvGraphicFramePr>
              <a:graphicFrameLocks noChangeAspect="1"/>
            </wp:cNvGraphicFramePr>
            <a:graphic>
              <a:graphicData uri="http://schemas.openxmlformats.org/drawingml/2006/picture">
                <pic:pic>
                  <pic:nvPicPr>
                    <pic:cNvPr id="0" name="pm25_2024_choropleth.png"/>
                    <pic:cNvPicPr/>
                  </pic:nvPicPr>
                  <pic:blipFill>
                    <a:blip r:embed="rId9"/>
                    <a:stretch>
                      <a:fillRect/>
                    </a:stretch>
                  </pic:blipFill>
                  <pic:spPr>
                    <a:xfrm>
                      <a:off x="0" y="0"/>
                      <a:ext cx="5669280" cy="5240013"/>
                    </a:xfrm>
                    <a:prstGeom prst="rect"/>
                  </pic:spPr>
                </pic:pic>
              </a:graphicData>
            </a:graphic>
          </wp:inline>
        </w:drawing>
      </w:r>
    </w:p>
    <w:p>
      <w:r>
        <w:drawing>
          <wp:inline xmlns:a="http://schemas.openxmlformats.org/drawingml/2006/main" xmlns:pic="http://schemas.openxmlformats.org/drawingml/2006/picture">
            <wp:extent cx="5669280" cy="4079238"/>
            <wp:docPr id="2" name="Picture 2"/>
            <wp:cNvGraphicFramePr>
              <a:graphicFrameLocks noChangeAspect="1"/>
            </wp:cNvGraphicFramePr>
            <a:graphic>
              <a:graphicData uri="http://schemas.openxmlformats.org/drawingml/2006/picture">
                <pic:pic>
                  <pic:nvPicPr>
                    <pic:cNvPr id="0" name="pm25_2024_ranked_bar.png"/>
                    <pic:cNvPicPr/>
                  </pic:nvPicPr>
                  <pic:blipFill>
                    <a:blip r:embed="rId10"/>
                    <a:stretch>
                      <a:fillRect/>
                    </a:stretch>
                  </pic:blipFill>
                  <pic:spPr>
                    <a:xfrm>
                      <a:off x="0" y="0"/>
                      <a:ext cx="5669280" cy="407923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