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{{date}}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{{customer_name}}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ATTN:</w:t>
      </w:r>
      <w:r>
        <w:rPr>
          <w:b w:val="false"/>
          <w:bCs w:val="false"/>
          <w:sz w:val="22"/>
          <w:szCs w:val="22"/>
        </w:rPr>
        <w:t xml:space="preserve"> {{attention_name}}                                                                   </w:t>
      </w:r>
      <w:r>
        <w:rPr>
          <w:b/>
          <w:sz w:val="22"/>
          <w:szCs w:val="22"/>
        </w:rPr>
        <w:t xml:space="preserve">Quote #: </w:t>
      </w:r>
      <w:r>
        <w:rPr>
          <w:b w:val="false"/>
          <w:bCs w:val="false"/>
          <w:sz w:val="22"/>
          <w:szCs w:val="22"/>
        </w:rPr>
        <w:t>{{quote_number}}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>
          <w:sz w:val="22"/>
          <w:szCs w:val="22"/>
        </w:rPr>
        <w:t>{{quantity}} QTY</w:t>
        <w:tab/>
        <w:tab/>
      </w:r>
      <w:r>
        <w:rPr>
          <w:b/>
          <w:sz w:val="22"/>
          <w:szCs w:val="22"/>
        </w:rPr>
        <w:t xml:space="preserve">{{part_number}} LEVEL TRANSMITTER            </w:t>
      </w:r>
      <w:r>
        <w:rPr>
          <w:sz w:val="22"/>
          <w:szCs w:val="22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2"/>
          <w:szCs w:val="22"/>
        </w:rPr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Probe: {{probe_size}}" Diameter {{probe_material}} x {{probe_length}}"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Delivery: </w:t>
        <w:tab/>
        <w:tab/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EasyOffice/7.6.2.1.0$Windows_X86_64 LibreOffice_project/0bc4d647150f05f02b71ccb5539a4012b57f1faf</Application>
  <AppVersion>15.0000</AppVersion>
  <Pages>1</Pages>
  <Words>231</Words>
  <Characters>1361</Characters>
  <CharactersWithSpaces>1663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2025-07-14T00:09:08Z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