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FF0000"/>
          <w:highlight w:val="yellow"/>
          <w:u w:val="single"/>
        </w:rPr>
        <w:t>Đoạn này cố tình có màu chữ, highlight và gạch chân để rule nâng cao chỉ báo manual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</w:tcPr>
          <w:p>
            <w:r>
              <w:rPr>
                <w:highlight w:val="green"/>
              </w:rPr>
              <w:t>Ô bảng có highlight cần kiểm tra thủ công.</w:t>
            </w:r>
          </w:p>
        </w:tc>
      </w:tr>
    </w:tbl>
    <w:p>
      <w:pPr>
        <w:jc w:val="left"/>
      </w:pPr>
      <w:r>
        <w:t xml:space="preserve">Công thức minh họa: </w:t>
      </w:r>
      <m:oMath>
        <m:r>
          <m:t>x+y=1</m:t>
        </m:r>
      </m:oMath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