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i w:val="0"/>
          <w:color w:val="103AC0"/>
          <w:sz w:val="26"/>
        </w:rPr>
        <w:t>BUSINESS PLAN</w:t>
      </w:r>
    </w:p>
    <w:p>
      <w:pPr>
        <w:spacing w:after="40"/>
        <w:jc w:val="center"/>
      </w:pPr>
      <w:r>
        <w:rPr>
          <w:b/>
          <w:i w:val="0"/>
          <w:color w:val="101828"/>
          <w:sz w:val="68"/>
        </w:rPr>
        <w:t>EU StudyBridge Nigeria</w:t>
      </w:r>
    </w:p>
    <w:p>
      <w:pPr>
        <w:spacing w:after="480"/>
        <w:jc w:val="center"/>
      </w:pPr>
      <w:r>
        <w:rPr>
          <w:b w:val="0"/>
          <w:i w:val="0"/>
          <w:color w:val="52607A"/>
          <w:sz w:val="26"/>
        </w:rPr>
        <w:t>Study Abroad Consulting — Connecting Nigerian Students to European Universities</w:t>
      </w:r>
    </w:p>
    <w:p>
      <w:pPr>
        <w:spacing w:after="80"/>
        <w:jc w:val="center"/>
      </w:pPr>
      <w:r>
        <w:rPr>
          <w:b/>
          <w:color w:val="52607A"/>
          <w:sz w:val="22"/>
        </w:rPr>
        <w:t xml:space="preserve">Prepared for:  </w:t>
      </w:r>
      <w:r>
        <w:rPr>
          <w:color w:val="101828"/>
          <w:sz w:val="22"/>
        </w:rPr>
        <w:t>Founders &amp; Management Team</w:t>
      </w:r>
    </w:p>
    <w:p>
      <w:pPr>
        <w:spacing w:after="80"/>
        <w:jc w:val="center"/>
      </w:pPr>
      <w:r>
        <w:rPr>
          <w:b/>
          <w:color w:val="52607A"/>
          <w:sz w:val="22"/>
        </w:rPr>
        <w:t xml:space="preserve">Prepared by:  </w:t>
      </w:r>
      <w:r>
        <w:rPr>
          <w:color w:val="101828"/>
          <w:sz w:val="22"/>
        </w:rPr>
        <w:t>Strategy &amp; Business Development</w:t>
      </w:r>
    </w:p>
    <w:p>
      <w:pPr>
        <w:spacing w:after="80"/>
        <w:jc w:val="center"/>
      </w:pPr>
      <w:r>
        <w:rPr>
          <w:b/>
          <w:color w:val="52607A"/>
          <w:sz w:val="22"/>
        </w:rPr>
        <w:t xml:space="preserve">Date:  </w:t>
      </w:r>
      <w:r>
        <w:rPr>
          <w:color w:val="101828"/>
          <w:sz w:val="22"/>
        </w:rPr>
        <w:t>August 2026</w:t>
      </w:r>
    </w:p>
    <w:p>
      <w:pPr>
        <w:spacing w:after="80"/>
        <w:jc w:val="center"/>
      </w:pPr>
      <w:r>
        <w:rPr>
          <w:b/>
          <w:color w:val="52607A"/>
          <w:sz w:val="22"/>
        </w:rPr>
        <w:t xml:space="preserve">Office:  </w:t>
      </w:r>
      <w:r>
        <w:rPr>
          <w:color w:val="101828"/>
          <w:sz w:val="22"/>
        </w:rPr>
        <w:t>14 Ikoyi Road, Lekki Phase 1, Lagos, Nigeria</w:t>
      </w:r>
    </w:p>
    <w:p>
      <w:pPr>
        <w:spacing w:after="80"/>
        <w:jc w:val="center"/>
      </w:pPr>
      <w:r>
        <w:rPr>
          <w:b/>
          <w:color w:val="52607A"/>
          <w:sz w:val="22"/>
        </w:rPr>
        <w:t xml:space="preserve">Contact:  </w:t>
      </w:r>
      <w:r>
        <w:rPr>
          <w:color w:val="101828"/>
          <w:sz w:val="22"/>
        </w:rPr>
        <w:t>hello@eustudybridge.ng  |  +234 803 440 3121</w:t>
      </w:r>
    </w:p>
    <w:p>
      <w:pPr>
        <w:spacing w:after="80"/>
        <w:jc w:val="center"/>
      </w:pPr>
      <w:r>
        <w:rPr>
          <w:b/>
          <w:color w:val="52607A"/>
          <w:sz w:val="22"/>
        </w:rPr>
        <w:t xml:space="preserve">Website:  </w:t>
      </w:r>
      <w:r>
        <w:rPr>
          <w:color w:val="101828"/>
          <w:sz w:val="22"/>
        </w:rPr>
        <w:t>eustudybridge.ng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03AC0"/>
        </w:rPr>
        <w:t>Contents</w:t>
      </w:r>
    </w:p>
    <w:p>
      <w:pPr>
        <w:spacing w:after="80"/>
      </w:pPr>
      <w:r>
        <w:rPr>
          <w:b w:val="0"/>
          <w:i w:val="0"/>
          <w:color w:val="101828"/>
          <w:sz w:val="24"/>
        </w:rPr>
        <w:t>1. Executive Summary</w:t>
      </w:r>
    </w:p>
    <w:p>
      <w:pPr>
        <w:spacing w:after="80"/>
      </w:pPr>
      <w:r>
        <w:rPr>
          <w:b w:val="0"/>
          <w:i w:val="0"/>
          <w:color w:val="101828"/>
          <w:sz w:val="24"/>
        </w:rPr>
        <w:t>2. Company Overview</w:t>
      </w:r>
    </w:p>
    <w:p>
      <w:pPr>
        <w:spacing w:after="80"/>
      </w:pPr>
      <w:r>
        <w:rPr>
          <w:b w:val="0"/>
          <w:i w:val="0"/>
          <w:color w:val="101828"/>
          <w:sz w:val="24"/>
        </w:rPr>
        <w:t>3. Market Analysis</w:t>
      </w:r>
    </w:p>
    <w:p>
      <w:pPr>
        <w:spacing w:after="80"/>
      </w:pPr>
      <w:r>
        <w:rPr>
          <w:b w:val="0"/>
          <w:i w:val="0"/>
          <w:color w:val="101828"/>
          <w:sz w:val="24"/>
        </w:rPr>
        <w:t>4. Services &amp; Revenue Model</w:t>
      </w:r>
    </w:p>
    <w:p>
      <w:pPr>
        <w:spacing w:after="80"/>
      </w:pPr>
      <w:r>
        <w:rPr>
          <w:b w:val="0"/>
          <w:i w:val="0"/>
          <w:color w:val="101828"/>
          <w:sz w:val="24"/>
        </w:rPr>
        <w:t>5. Marketing &amp; Sales Strategy</w:t>
      </w:r>
    </w:p>
    <w:p>
      <w:pPr>
        <w:spacing w:after="80"/>
      </w:pPr>
      <w:r>
        <w:rPr>
          <w:b w:val="0"/>
          <w:i w:val="0"/>
          <w:color w:val="101828"/>
          <w:sz w:val="24"/>
        </w:rPr>
        <w:t>6. Operations Plan</w:t>
      </w:r>
    </w:p>
    <w:p>
      <w:pPr>
        <w:spacing w:after="80"/>
      </w:pPr>
      <w:r>
        <w:rPr>
          <w:b w:val="0"/>
          <w:i w:val="0"/>
          <w:color w:val="101828"/>
          <w:sz w:val="24"/>
        </w:rPr>
        <w:t>7. Management &amp; Organization</w:t>
      </w:r>
    </w:p>
    <w:p>
      <w:pPr>
        <w:spacing w:after="80"/>
      </w:pPr>
      <w:r>
        <w:rPr>
          <w:b w:val="0"/>
          <w:i w:val="0"/>
          <w:color w:val="101828"/>
          <w:sz w:val="24"/>
        </w:rPr>
        <w:t>8. Financial Plan</w:t>
      </w:r>
    </w:p>
    <w:p>
      <w:pPr>
        <w:spacing w:after="80"/>
      </w:pPr>
      <w:r>
        <w:rPr>
          <w:b w:val="0"/>
          <w:i w:val="0"/>
          <w:color w:val="101828"/>
          <w:sz w:val="24"/>
        </w:rPr>
        <w:t>9. Funding Requirements</w:t>
      </w:r>
    </w:p>
    <w:p>
      <w:pPr>
        <w:spacing w:after="80"/>
      </w:pPr>
      <w:r>
        <w:rPr>
          <w:b w:val="0"/>
          <w:i w:val="0"/>
          <w:color w:val="101828"/>
          <w:sz w:val="24"/>
        </w:rPr>
        <w:t>10. Risks &amp; Mitigation</w:t>
      </w:r>
    </w:p>
    <w:p>
      <w:pPr>
        <w:spacing w:after="80"/>
      </w:pPr>
      <w:r>
        <w:rPr>
          <w:b w:val="0"/>
          <w:i w:val="0"/>
          <w:color w:val="101828"/>
          <w:sz w:val="24"/>
        </w:rPr>
        <w:t>11. Implementation Roadmap</w:t>
      </w:r>
    </w:p>
    <w:p>
      <w:pPr>
        <w:spacing w:after="80"/>
      </w:pPr>
      <w:r>
        <w:rPr>
          <w:b w:val="0"/>
          <w:i w:val="0"/>
          <w:color w:val="101828"/>
          <w:sz w:val="24"/>
        </w:rPr>
        <w:t>Appendix A: Service Fee Schedule</w:t>
      </w:r>
    </w:p>
    <w:p>
      <w:pPr>
        <w:spacing w:after="80"/>
      </w:pPr>
      <w:r>
        <w:rPr>
          <w:b w:val="0"/>
          <w:i w:val="0"/>
          <w:color w:val="101828"/>
          <w:sz w:val="24"/>
        </w:rPr>
        <w:t>Appendix B: 24-Month Financial Projection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03AC0"/>
        </w:rPr>
        <w:t>1. Executive Summary</w:t>
      </w:r>
    </w:p>
    <w:p>
      <w:pPr>
        <w:spacing w:after="120"/>
      </w:pPr>
      <w:r>
        <w:rPr>
          <w:b w:val="0"/>
          <w:i w:val="0"/>
          <w:color w:val="101828"/>
          <w:sz w:val="22"/>
        </w:rPr>
        <w:t>EU StudyBridge Nigeria is a study-abroad consultancy based in Lagos, Nigeria, that guides Nigerian students through every step of studying in the European Union — from university selection and admission applications to visa strategy, scholarship matching, and pre-departure preparation. The business addresses a fast-growing demand: tens of thousands of Nigerian students apply to EU universities each year, yet most lack reliable guidance, structured timelines, and document preparation support.</w:t>
      </w:r>
    </w:p>
    <w:p>
      <w:pPr>
        <w:spacing w:after="120"/>
      </w:pPr>
      <w:r>
        <w:rPr>
          <w:b w:val="0"/>
          <w:i w:val="0"/>
          <w:color w:val="101828"/>
          <w:sz w:val="22"/>
        </w:rPr>
        <w:t>The company operates a low-fixed-cost, high-margin advisory model. Revenue comes from per-student service fees across four study routes (Undergraduate, Master’s, Language + Foundation, and Doctoral/Research) and from destination countries including Germany, Ireland, the Netherlands, Poland, Italy, and Spain. Targeting 240 enrolled students by the end of year two, the business is projected to reach ₦186.4 million in annual revenue with a 49% net margin in Year 2.</w:t>
      </w:r>
    </w:p>
    <w:p>
      <w:pPr>
        <w:spacing w:after="120"/>
      </w:pPr>
      <w:r>
        <w:rPr>
          <w:b w:val="0"/>
          <w:i w:val="0"/>
          <w:color w:val="101828"/>
          <w:sz w:val="22"/>
        </w:rPr>
        <w:t>Initial funding of ₦18 million covers team, office, marketing, and working capital for the first 12 months. EU StudyBridge is positioned to become the most trusted study-abroad partner for Nigerian students through personalised, transparent, and outcome-focused service.</w:t>
      </w:r>
    </w:p>
    <w:p>
      <w:pPr>
        <w:pStyle w:val="Heading1"/>
      </w:pPr>
      <w:r>
        <w:rPr>
          <w:rFonts w:ascii="Calibri" w:hAnsi="Calibri"/>
          <w:color w:val="103AC0"/>
        </w:rPr>
        <w:t>2. Company Overview</w:t>
      </w:r>
    </w:p>
    <w:p>
      <w:pPr>
        <w:pStyle w:val="Heading2"/>
      </w:pPr>
      <w:r>
        <w:rPr>
          <w:rFonts w:ascii="Calibri" w:hAnsi="Calibri"/>
          <w:color w:val="101828"/>
        </w:rPr>
        <w:t>2.1 Mission</w:t>
      </w:r>
    </w:p>
    <w:p>
      <w:pPr>
        <w:spacing w:after="120"/>
      </w:pPr>
      <w:r>
        <w:rPr>
          <w:b w:val="0"/>
          <w:i w:val="0"/>
          <w:color w:val="101828"/>
          <w:sz w:val="22"/>
        </w:rPr>
        <w:t>To make European higher education accessible to Nigerian students through expert, personalised, and transparent guidance at every stage of their journey.</w:t>
      </w:r>
    </w:p>
    <w:p>
      <w:pPr>
        <w:pStyle w:val="Heading2"/>
      </w:pPr>
      <w:r>
        <w:rPr>
          <w:rFonts w:ascii="Calibri" w:hAnsi="Calibri"/>
          <w:color w:val="101828"/>
        </w:rPr>
        <w:t>2.2 Vision</w:t>
      </w:r>
    </w:p>
    <w:p>
      <w:pPr>
        <w:spacing w:after="120"/>
      </w:pPr>
      <w:r>
        <w:rPr>
          <w:b w:val="0"/>
          <w:i w:val="0"/>
          <w:color w:val="101828"/>
          <w:sz w:val="22"/>
        </w:rPr>
        <w:t>To be the most trusted bridge between Nigeria and European universities — guiding 5,000 students to successful enrolment by 2030.</w:t>
      </w:r>
    </w:p>
    <w:p>
      <w:pPr>
        <w:pStyle w:val="Heading2"/>
      </w:pPr>
      <w:r>
        <w:rPr>
          <w:rFonts w:ascii="Calibri" w:hAnsi="Calibri"/>
          <w:color w:val="101828"/>
        </w:rPr>
        <w:t>2.3 Legal &amp; Corporate Structure</w:t>
      </w:r>
    </w:p>
    <w:p>
      <w:pPr>
        <w:pStyle w:val="ListBullet"/>
      </w:pPr>
      <w:r>
        <w:t>Register as a private limited liability company (Ltd) with the Corporate Affairs Commission (CAC), Nigeria.</w:t>
      </w:r>
    </w:p>
    <w:p>
      <w:pPr>
        <w:pStyle w:val="ListBullet"/>
      </w:pPr>
      <w:r>
        <w:t>Structure: Founder/Managing Director, Admissions Lead, Visa &amp; Compliance Lead, Operations Manager, and Marketing Manager.</w:t>
      </w:r>
    </w:p>
    <w:p>
      <w:pPr>
        <w:pStyle w:val="ListBullet"/>
      </w:pPr>
      <w:r>
        <w:t>Registered office: 14 Ikoyi Road, Lekki Phase 1, Lagos, Nigeria.</w:t>
      </w:r>
    </w:p>
    <w:p>
      <w:pPr>
        <w:pStyle w:val="Heading1"/>
      </w:pPr>
      <w:r>
        <w:rPr>
          <w:rFonts w:ascii="Calibri" w:hAnsi="Calibri"/>
          <w:color w:val="103AC0"/>
        </w:rPr>
        <w:t>3. Market Analysis</w:t>
      </w:r>
    </w:p>
    <w:p>
      <w:pPr>
        <w:pStyle w:val="Heading2"/>
      </w:pPr>
      <w:r>
        <w:rPr>
          <w:rFonts w:ascii="Calibri" w:hAnsi="Calibri"/>
          <w:color w:val="101828"/>
        </w:rPr>
        <w:t>3.1 Industry Overview</w:t>
      </w:r>
    </w:p>
    <w:p>
      <w:pPr>
        <w:spacing w:after="120"/>
      </w:pPr>
      <w:r>
        <w:rPr>
          <w:b w:val="0"/>
          <w:i w:val="0"/>
          <w:color w:val="101828"/>
          <w:sz w:val="22"/>
        </w:rPr>
        <w:t>Nigerian students represent one of Africa’s largest outbound study populations. Demand for European destinations is driven by affordable tuition in Germany and Poland, strong post-study work rights in Ireland, and English-taught programmes across the EU. The UK and Canada have tightened visa and cost conditions, pushing more students toward EU alternatives and making this a strategic window for EU-focused consultants.</w:t>
      </w:r>
    </w:p>
    <w:p>
      <w:pPr>
        <w:pStyle w:val="Heading2"/>
      </w:pPr>
      <w:r>
        <w:rPr>
          <w:rFonts w:ascii="Calibri" w:hAnsi="Calibri"/>
          <w:color w:val="101828"/>
        </w:rPr>
        <w:t>3.2 Target Market</w:t>
      </w:r>
    </w:p>
    <w:p>
      <w:pPr>
        <w:pStyle w:val="ListBullet"/>
      </w:pPr>
      <w:r>
        <w:t>Undergraduate aspirants (18–24 months planning horizon).</w:t>
      </w:r>
    </w:p>
    <w:p>
      <w:pPr>
        <w:pStyle w:val="ListBullet"/>
      </w:pPr>
      <w:r>
        <w:t>Graduates seeking Master’s and professional programmes (8–12 months horizon).</w:t>
      </w:r>
    </w:p>
    <w:p>
      <w:pPr>
        <w:pStyle w:val="ListBullet"/>
      </w:pPr>
      <w:r>
        <w:t>Students needing language/foundation pathways before a degree.</w:t>
      </w:r>
    </w:p>
    <w:p>
      <w:pPr>
        <w:pStyle w:val="ListBullet"/>
      </w:pPr>
      <w:r>
        <w:t>Doctoral and research candidates requiring supervision-fit and funding support.</w:t>
      </w:r>
    </w:p>
    <w:p>
      <w:pPr>
        <w:pStyle w:val="ListBullet"/>
      </w:pPr>
      <w:r>
        <w:t>Geography: Lagos (headquarters), Abuja, Port Harcourt, Ibadan, and diaspora families via online channels.</w:t>
      </w:r>
    </w:p>
    <w:p>
      <w:pPr>
        <w:pStyle w:val="Heading2"/>
      </w:pPr>
      <w:r>
        <w:rPr>
          <w:rFonts w:ascii="Calibri" w:hAnsi="Calibri"/>
          <w:color w:val="101828"/>
        </w:rPr>
        <w:t>3.3 Market Size &amp; Growth</w:t>
      </w:r>
    </w:p>
    <w:p>
      <w:pPr>
        <w:spacing w:after="120"/>
      </w:pPr>
      <w:r>
        <w:rPr>
          <w:b w:val="0"/>
          <w:i w:val="0"/>
          <w:color w:val="101828"/>
          <w:sz w:val="22"/>
        </w:rPr>
        <w:t>Nigeria’s outbound student numbers are estimated in the hundreds of thousands annually, with EU-bound applications growing year over year. Even capturing a small, focused share (0.1–0.3% of the addressable market) supports the company’s 240-student Year-2 target.</w:t>
      </w:r>
    </w:p>
    <w:p>
      <w:pPr>
        <w:pStyle w:val="Heading2"/>
      </w:pPr>
      <w:r>
        <w:rPr>
          <w:rFonts w:ascii="Calibri" w:hAnsi="Calibri"/>
          <w:color w:val="101828"/>
        </w:rPr>
        <w:t>3.4 Competitive Landscape</w:t>
      </w:r>
    </w:p>
    <w:p>
      <w:pPr>
        <w:spacing w:after="120"/>
      </w:pPr>
      <w:r>
        <w:rPr>
          <w:b w:val="0"/>
          <w:i w:val="0"/>
          <w:color w:val="101828"/>
          <w:sz w:val="22"/>
        </w:rPr>
        <w:t>Competitors include generalist agencies, free/low-engagement agents, and self-service online platforms. EU StudyBridge differentiates through: dedicated personal agents for every applicant, transparent pricing with documented service tiers, EU-country specialisation (6 destinations), integrated visa strategy, and a digital-first experience (web planner, WhatsApp chat, automated roadmaps).</w:t>
      </w:r>
    </w:p>
    <w:p>
      <w:pPr>
        <w:pStyle w:val="Heading2"/>
      </w:pPr>
      <w:r>
        <w:rPr>
          <w:rFonts w:ascii="Calibri" w:hAnsi="Calibri"/>
          <w:color w:val="101828"/>
        </w:rPr>
        <w:t>3.5 SWOT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087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Key Points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01828"/>
                <w:sz w:val="20"/>
              </w:rPr>
              <w:t>Strengths</w:t>
            </w:r>
          </w:p>
        </w:tc>
        <w:tc>
          <w:tcPr>
            <w:tcW w:type="dxa" w:w="7087"/>
          </w:tcPr>
          <w:p>
            <w:r/>
            <w:r>
              <w:rPr>
                <w:color w:val="101828"/>
                <w:sz w:val="20"/>
              </w:rPr>
              <w:t>Dedicated per-student agents; 6-country EU focus; strong brand and web presence; transparent tiered pricing; 79% interview-request success metric.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01828"/>
                <w:sz w:val="20"/>
              </w:rPr>
              <w:t>Weaknesses</w:t>
            </w:r>
          </w:p>
        </w:tc>
        <w:tc>
          <w:tcPr>
            <w:tcW w:type="dxa" w:w="7087"/>
          </w:tcPr>
          <w:p>
            <w:r/>
            <w:r>
              <w:rPr>
                <w:color w:val="101828"/>
                <w:sz w:val="20"/>
              </w:rPr>
              <w:t>New entrant without a long track record; dependency on founder relationships with universities; seasonal intake peaks.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01828"/>
                <w:sz w:val="20"/>
              </w:rPr>
              <w:t>Opportunities</w:t>
            </w:r>
          </w:p>
        </w:tc>
        <w:tc>
          <w:tcPr>
            <w:tcW w:type="dxa" w:w="7087"/>
          </w:tcPr>
          <w:p>
            <w:r/>
            <w:r>
              <w:rPr>
                <w:color w:val="101828"/>
                <w:sz w:val="20"/>
              </w:rPr>
              <w:t>EU visa/cost advantage over UK/Canada; growing English-taught programme supply; scholarship and pathway partnerships; online-first sales reaching diaspora families.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01828"/>
                <w:sz w:val="20"/>
              </w:rPr>
              <w:t>Threats</w:t>
            </w:r>
          </w:p>
        </w:tc>
        <w:tc>
          <w:tcPr>
            <w:tcW w:type="dxa" w:w="7087"/>
          </w:tcPr>
          <w:p>
            <w:r/>
            <w:r>
              <w:rPr>
                <w:color w:val="101828"/>
                <w:sz w:val="20"/>
              </w:rPr>
              <w:t>Regulatory changes in EU visa policy; currency volatility (₦/€); aggressive competitor pricing; fake-agent reputation risk in the industry.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03AC0"/>
        </w:rPr>
        <w:t>4. Services &amp; Revenue Model</w:t>
      </w:r>
    </w:p>
    <w:p>
      <w:pPr>
        <w:pStyle w:val="Heading2"/>
      </w:pPr>
      <w:r>
        <w:rPr>
          <w:rFonts w:ascii="Calibri" w:hAnsi="Calibri"/>
          <w:color w:val="101828"/>
        </w:rPr>
        <w:t>4.1 Service Lines</w:t>
      </w:r>
    </w:p>
    <w:p>
      <w:pPr>
        <w:spacing w:after="120"/>
      </w:pPr>
      <w:r>
        <w:rPr>
          <w:b w:val="0"/>
          <w:i w:val="0"/>
          <w:color w:val="101828"/>
          <w:sz w:val="22"/>
        </w:rPr>
        <w:t>Four study routes mirror the website offering. Each route is delivered by a dedicated agent and ends with arrival support, so students experience a single accountable point of contact.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5102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Services Included</w:t>
            </w:r>
          </w:p>
        </w:tc>
        <w:tc>
          <w:tcPr>
            <w:tcW w:type="dxa" w:w="1701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Avg. Fee (₦)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01828"/>
                <w:sz w:val="20"/>
              </w:rPr>
              <w:t>Undergraduate</w:t>
            </w:r>
          </w:p>
        </w:tc>
        <w:tc>
          <w:tcPr>
            <w:tcW w:type="dxa" w:w="5102"/>
          </w:tcPr>
          <w:p>
            <w:r/>
            <w:r>
              <w:rPr>
                <w:color w:val="101828"/>
                <w:sz w:val="20"/>
              </w:rPr>
              <w:t>University shortlisting, applications, personal statement, document pack, offer follow-up</w:t>
            </w:r>
          </w:p>
        </w:tc>
        <w:tc>
          <w:tcPr>
            <w:tcW w:type="dxa" w:w="1701"/>
          </w:tcPr>
          <w:p>
            <w:r/>
            <w:r>
              <w:rPr>
                <w:color w:val="101828"/>
                <w:sz w:val="20"/>
              </w:rPr>
              <w:t>650,000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01828"/>
                <w:sz w:val="20"/>
              </w:rPr>
              <w:t>Master’s / Postgraduate</w:t>
            </w:r>
          </w:p>
        </w:tc>
        <w:tc>
          <w:tcPr>
            <w:tcW w:type="dxa" w:w="5102"/>
          </w:tcPr>
          <w:p>
            <w:r/>
            <w:r>
              <w:rPr>
                <w:color w:val="101828"/>
                <w:sz w:val="20"/>
              </w:rPr>
              <w:t>SOP/CV review, scholarship matching, applications, interview prep</w:t>
            </w:r>
          </w:p>
        </w:tc>
        <w:tc>
          <w:tcPr>
            <w:tcW w:type="dxa" w:w="1701"/>
          </w:tcPr>
          <w:p>
            <w:r/>
            <w:r>
              <w:rPr>
                <w:color w:val="101828"/>
                <w:sz w:val="20"/>
              </w:rPr>
              <w:t>600,000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01828"/>
                <w:sz w:val="20"/>
              </w:rPr>
              <w:t>Language + Foundation</w:t>
            </w:r>
          </w:p>
        </w:tc>
        <w:tc>
          <w:tcPr>
            <w:tcW w:type="dxa" w:w="5102"/>
          </w:tcPr>
          <w:p>
            <w:r/>
            <w:r>
              <w:rPr>
                <w:color w:val="101828"/>
                <w:sz w:val="20"/>
              </w:rPr>
              <w:t>Pathway matching, intensive English support, fast-track enrolment</w:t>
            </w:r>
          </w:p>
        </w:tc>
        <w:tc>
          <w:tcPr>
            <w:tcW w:type="dxa" w:w="1701"/>
          </w:tcPr>
          <w:p>
            <w:r/>
            <w:r>
              <w:rPr>
                <w:color w:val="101828"/>
                <w:sz w:val="20"/>
              </w:rPr>
              <w:t>500,000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01828"/>
                <w:sz w:val="20"/>
              </w:rPr>
              <w:t>Doctoral / Research</w:t>
            </w:r>
          </w:p>
        </w:tc>
        <w:tc>
          <w:tcPr>
            <w:tcW w:type="dxa" w:w="5102"/>
          </w:tcPr>
          <w:p>
            <w:r/>
            <w:r>
              <w:rPr>
                <w:color w:val="101828"/>
                <w:sz w:val="20"/>
              </w:rPr>
              <w:t>Supervisor outreach, research proposal review, funding feasibility</w:t>
            </w:r>
          </w:p>
        </w:tc>
        <w:tc>
          <w:tcPr>
            <w:tcW w:type="dxa" w:w="1701"/>
          </w:tcPr>
          <w:p>
            <w:r/>
            <w:r>
              <w:rPr>
                <w:color w:val="101828"/>
                <w:sz w:val="20"/>
              </w:rPr>
              <w:t>750,000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01828"/>
        </w:rPr>
        <w:t>4.2 Revenue Streams</w:t>
      </w:r>
    </w:p>
    <w:p>
      <w:pPr>
        <w:pStyle w:val="ListBullet"/>
      </w:pPr>
      <w:r>
        <w:t>Per-student service fees (primary, ~85% of revenue).</w:t>
      </w:r>
    </w:p>
    <w:p>
      <w:pPr>
        <w:pStyle w:val="ListBullet"/>
      </w:pPr>
      <w:r>
        <w:t>Visa &amp; pre-departure add-on packages (insurance referral, accommodation booking).</w:t>
      </w:r>
    </w:p>
    <w:p>
      <w:pPr>
        <w:pStyle w:val="ListBullet"/>
      </w:pPr>
      <w:r>
        <w:t>Commission from partner universities (standard international education practice).</w:t>
      </w:r>
    </w:p>
    <w:p>
      <w:pPr>
        <w:pStyle w:val="ListBullet"/>
      </w:pPr>
      <w:r>
        <w:t>Premium tier: fully managed end-to-end service with priority responsiveness and concierge arrival support.</w:t>
      </w:r>
    </w:p>
    <w:p>
      <w:pPr>
        <w:pStyle w:val="Heading2"/>
      </w:pPr>
      <w:r>
        <w:rPr>
          <w:rFonts w:ascii="Calibri" w:hAnsi="Calibri"/>
          <w:color w:val="101828"/>
        </w:rPr>
        <w:t>4.3 Pricing Strategy</w:t>
      </w:r>
    </w:p>
    <w:p>
      <w:pPr>
        <w:spacing w:after="120"/>
      </w:pPr>
      <w:r>
        <w:rPr>
          <w:b w:val="0"/>
          <w:i w:val="0"/>
          <w:color w:val="101828"/>
          <w:sz w:val="22"/>
        </w:rPr>
        <w:t>Fees are tiered by route and complexity, benchmarked against generalist agencies while emphasising transparency and documentation. Installment plans (e.g., 50% on engagement, 30% on application submission, 20% on offer/visa stage) improve affordability and cash-flow predictability.</w:t>
      </w:r>
    </w:p>
    <w:p>
      <w:pPr>
        <w:pStyle w:val="Heading1"/>
      </w:pPr>
      <w:r>
        <w:rPr>
          <w:rFonts w:ascii="Calibri" w:hAnsi="Calibri"/>
          <w:color w:val="103AC0"/>
        </w:rPr>
        <w:t>5. Marketing &amp; Sales Strategy</w:t>
      </w:r>
    </w:p>
    <w:p>
      <w:pPr>
        <w:pStyle w:val="Heading2"/>
      </w:pPr>
      <w:r>
        <w:rPr>
          <w:rFonts w:ascii="Calibri" w:hAnsi="Calibri"/>
          <w:color w:val="101828"/>
        </w:rPr>
        <w:t>5.1 Positioning</w:t>
      </w:r>
    </w:p>
    <w:p>
      <w:pPr>
        <w:spacing w:after="120"/>
      </w:pPr>
      <w:r>
        <w:rPr>
          <w:b w:val="0"/>
          <w:i w:val="0"/>
          <w:color w:val="101828"/>
          <w:sz w:val="22"/>
        </w:rPr>
        <w:t>"Study in Europe without the confusion." EU StudyBridge is the specialist partner for Nigerian students who want structured, personal guidance to EU universities — differentiated from generalist agents by country focus and a dedicated agent for every applicant.</w:t>
      </w:r>
    </w:p>
    <w:p>
      <w:pPr>
        <w:pStyle w:val="Heading2"/>
      </w:pPr>
      <w:r>
        <w:rPr>
          <w:rFonts w:ascii="Calibri" w:hAnsi="Calibri"/>
          <w:color w:val="101828"/>
        </w:rPr>
        <w:t>5.2 Channels</w:t>
      </w:r>
    </w:p>
    <w:p>
      <w:pPr>
        <w:pStyle w:val="ListBullet"/>
      </w:pPr>
      <w:r>
        <w:t>Digital: SEO on study-in-Europe keywords, Instagram (@eustudybridgenigeria), Facebook, LinkedIn, and Google Ads.</w:t>
      </w:r>
    </w:p>
    <w:p>
      <w:pPr>
        <w:pStyle w:val="ListBullet"/>
      </w:pPr>
      <w:r>
        <w:t>Referrals: 20% referral credit for past students and families — the strongest acquisition channel.</w:t>
      </w:r>
    </w:p>
    <w:p>
      <w:pPr>
        <w:pStyle w:val="ListBullet"/>
      </w:pPr>
      <w:r>
        <w:t>Schools &amp; partners: career fairs, university partnerships, and alumni ambassador programme.</w:t>
      </w:r>
    </w:p>
    <w:p>
      <w:pPr>
        <w:pStyle w:val="ListBullet"/>
      </w:pPr>
      <w:r>
        <w:t>WhatsApp funnel: the website chat and WhatsApp lines capture leads into a structured follow-up cadence.</w:t>
      </w:r>
    </w:p>
    <w:p>
      <w:pPr>
        <w:pStyle w:val="Heading2"/>
      </w:pPr>
      <w:r>
        <w:rPr>
          <w:rFonts w:ascii="Calibri" w:hAnsi="Calibri"/>
          <w:color w:val="101828"/>
        </w:rPr>
        <w:t>5.3 Sales Funnel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4535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</w:tr>
      <w:tr>
        <w:tc>
          <w:tcPr>
            <w:tcW w:type="dxa" w:w="4535"/>
          </w:tcPr>
          <w:p>
            <w:r/>
            <w:r>
              <w:rPr>
                <w:color w:val="101828"/>
                <w:sz w:val="20"/>
              </w:rPr>
              <w:t>Leads / month (Year 1)</w:t>
            </w:r>
          </w:p>
        </w:tc>
        <w:tc>
          <w:tcPr>
            <w:tcW w:type="dxa" w:w="4535"/>
          </w:tcPr>
          <w:p>
            <w:r/>
            <w:r>
              <w:rPr>
                <w:color w:val="101828"/>
                <w:sz w:val="20"/>
              </w:rPr>
              <w:t>300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color w:val="101828"/>
                <w:sz w:val="20"/>
              </w:rPr>
              <w:t>Consultation calls</w:t>
            </w:r>
          </w:p>
        </w:tc>
        <w:tc>
          <w:tcPr>
            <w:tcW w:type="dxa" w:w="4535"/>
          </w:tcPr>
          <w:p>
            <w:r/>
            <w:r>
              <w:rPr>
                <w:color w:val="101828"/>
                <w:sz w:val="20"/>
              </w:rPr>
              <w:t>90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color w:val="101828"/>
                <w:sz w:val="20"/>
              </w:rPr>
              <w:t>Proposals sent</w:t>
            </w:r>
          </w:p>
        </w:tc>
        <w:tc>
          <w:tcPr>
            <w:tcW w:type="dxa" w:w="4535"/>
          </w:tcPr>
          <w:p>
            <w:r/>
            <w:r>
              <w:rPr>
                <w:color w:val="101828"/>
                <w:sz w:val="20"/>
              </w:rPr>
              <w:t>45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color w:val="101828"/>
                <w:sz w:val="20"/>
              </w:rPr>
              <w:t>Enrolled students</w:t>
            </w:r>
          </w:p>
        </w:tc>
        <w:tc>
          <w:tcPr>
            <w:tcW w:type="dxa" w:w="4535"/>
          </w:tcPr>
          <w:p>
            <w:r/>
            <w:r>
              <w:rPr>
                <w:color w:val="101828"/>
                <w:sz w:val="20"/>
              </w:rPr>
              <w:t>12–15 / month by Q4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color w:val="101828"/>
                <w:sz w:val="20"/>
              </w:rPr>
              <w:t>Conversion (lead → enrolled)</w:t>
            </w:r>
          </w:p>
        </w:tc>
        <w:tc>
          <w:tcPr>
            <w:tcW w:type="dxa" w:w="4535"/>
          </w:tcPr>
          <w:p>
            <w:r/>
            <w:r>
              <w:rPr>
                <w:color w:val="101828"/>
                <w:sz w:val="20"/>
              </w:rPr>
              <w:t>4–5%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03AC0"/>
        </w:rPr>
        <w:t>6. Operations Plan</w:t>
      </w:r>
    </w:p>
    <w:p>
      <w:pPr>
        <w:pStyle w:val="Heading2"/>
      </w:pPr>
      <w:r>
        <w:rPr>
          <w:rFonts w:ascii="Calibri" w:hAnsi="Calibri"/>
          <w:color w:val="101828"/>
        </w:rPr>
        <w:t>6.1 Student Journey</w:t>
      </w:r>
    </w:p>
    <w:p>
      <w:pPr>
        <w:spacing w:after="120"/>
      </w:pPr>
      <w:r>
        <w:rPr>
          <w:b w:val="0"/>
          <w:i w:val="0"/>
          <w:color w:val="101828"/>
          <w:sz w:val="22"/>
        </w:rPr>
        <w:t>A structured 9–12 month pipeline mirrors the website timeline, managed in a CRM with milestone tracking: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134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Months</w:t>
            </w:r>
          </w:p>
        </w:tc>
        <w:tc>
          <w:tcPr>
            <w:tcW w:type="dxa" w:w="5386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Key Activities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01828"/>
                <w:sz w:val="20"/>
              </w:rPr>
              <w:t>Research &amp; shortlisting</w:t>
            </w:r>
          </w:p>
        </w:tc>
        <w:tc>
          <w:tcPr>
            <w:tcW w:type="dxa" w:w="1134"/>
          </w:tcPr>
          <w:p>
            <w:r/>
            <w:r>
              <w:rPr>
                <w:color w:val="101828"/>
                <w:sz w:val="20"/>
              </w:rPr>
              <w:t>1–3</w:t>
            </w:r>
          </w:p>
        </w:tc>
        <w:tc>
          <w:tcPr>
            <w:tcW w:type="dxa" w:w="5386"/>
          </w:tcPr>
          <w:p>
            <w:r/>
            <w:r>
              <w:rPr>
                <w:color w:val="101828"/>
                <w:sz w:val="20"/>
              </w:rPr>
              <w:t>Course/country selection, university shortlist, budget and scholarship scan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01828"/>
                <w:sz w:val="20"/>
              </w:rPr>
              <w:t>Application &amp; documents</w:t>
            </w:r>
          </w:p>
        </w:tc>
        <w:tc>
          <w:tcPr>
            <w:tcW w:type="dxa" w:w="1134"/>
          </w:tcPr>
          <w:p>
            <w:r/>
            <w:r>
              <w:rPr>
                <w:color w:val="101828"/>
                <w:sz w:val="20"/>
              </w:rPr>
              <w:t>3–6</w:t>
            </w:r>
          </w:p>
        </w:tc>
        <w:tc>
          <w:tcPr>
            <w:tcW w:type="dxa" w:w="5386"/>
          </w:tcPr>
          <w:p>
            <w:r/>
            <w:r>
              <w:rPr>
                <w:color w:val="101828"/>
                <w:sz w:val="20"/>
              </w:rPr>
              <w:t>Transcripts, SOP, recommendation letters, English proficiency, financial evidence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01828"/>
                <w:sz w:val="20"/>
              </w:rPr>
              <w:t>Offer &amp; scholarship follow-up</w:t>
            </w:r>
          </w:p>
        </w:tc>
        <w:tc>
          <w:tcPr>
            <w:tcW w:type="dxa" w:w="1134"/>
          </w:tcPr>
          <w:p>
            <w:r/>
            <w:r>
              <w:rPr>
                <w:color w:val="101828"/>
                <w:sz w:val="20"/>
              </w:rPr>
              <w:t>6–9</w:t>
            </w:r>
          </w:p>
        </w:tc>
        <w:tc>
          <w:tcPr>
            <w:tcW w:type="dxa" w:w="5386"/>
          </w:tcPr>
          <w:p>
            <w:r/>
            <w:r>
              <w:rPr>
                <w:color w:val="101828"/>
                <w:sz w:val="20"/>
              </w:rPr>
              <w:t>Track applications, respond to admissions, secure offers, finalise funding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01828"/>
                <w:sz w:val="20"/>
              </w:rPr>
              <w:t>Visa, accommodation &amp; travel</w:t>
            </w:r>
          </w:p>
        </w:tc>
        <w:tc>
          <w:tcPr>
            <w:tcW w:type="dxa" w:w="1134"/>
          </w:tcPr>
          <w:p>
            <w:r/>
            <w:r>
              <w:rPr>
                <w:color w:val="101828"/>
                <w:sz w:val="20"/>
              </w:rPr>
              <w:t>9–12</w:t>
            </w:r>
          </w:p>
        </w:tc>
        <w:tc>
          <w:tcPr>
            <w:tcW w:type="dxa" w:w="5386"/>
          </w:tcPr>
          <w:p>
            <w:r/>
            <w:r>
              <w:rPr>
                <w:color w:val="101828"/>
                <w:sz w:val="20"/>
              </w:rPr>
              <w:t>Visa submission, accommodation booking, insurance, pre-departure coaching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01828"/>
        </w:rPr>
        <w:t>6.2 Technology Stack</w:t>
      </w:r>
    </w:p>
    <w:p>
      <w:pPr>
        <w:pStyle w:val="ListBullet"/>
      </w:pPr>
      <w:r>
        <w:t>Website with interactive study planner (already built) — lead capture and self-service roadmap.</w:t>
      </w:r>
    </w:p>
    <w:p>
      <w:pPr>
        <w:pStyle w:val="ListBullet"/>
      </w:pPr>
      <w:r>
        <w:t>CRM for pipeline, document checklists, and milestone reminders.</w:t>
      </w:r>
    </w:p>
    <w:p>
      <w:pPr>
        <w:pStyle w:val="ListBullet"/>
      </w:pPr>
      <w:r>
        <w:t>WhatsApp Business API for communication and support.</w:t>
      </w:r>
    </w:p>
    <w:p>
      <w:pPr>
        <w:pStyle w:val="ListBullet"/>
      </w:pPr>
      <w:r>
        <w:t>Document vault for secure uploads of transcripts, passports, and financial evidence.</w:t>
      </w:r>
    </w:p>
    <w:p>
      <w:pPr>
        <w:pStyle w:val="Heading2"/>
      </w:pPr>
      <w:r>
        <w:rPr>
          <w:rFonts w:ascii="Calibri" w:hAnsi="Calibri"/>
          <w:color w:val="101828"/>
        </w:rPr>
        <w:t>6.3 Capacity &amp; Scalability</w:t>
      </w:r>
    </w:p>
    <w:p>
      <w:pPr>
        <w:spacing w:after="120"/>
      </w:pPr>
      <w:r>
        <w:rPr>
          <w:b w:val="0"/>
          <w:i w:val="0"/>
          <w:color w:val="101828"/>
          <w:sz w:val="22"/>
        </w:rPr>
        <w:t>Each dedicated agent manages 25–30 active students. With a team of 4 consultants in Year 1 and 8 by the end of Year 2, the model supports 240+ enrolled students annually without sacrificing personalised service.</w:t>
      </w:r>
    </w:p>
    <w:p>
      <w:pPr>
        <w:pStyle w:val="Heading1"/>
      </w:pPr>
      <w:r>
        <w:rPr>
          <w:rFonts w:ascii="Calibri" w:hAnsi="Calibri"/>
          <w:color w:val="103AC0"/>
        </w:rPr>
        <w:t>7. Management &amp; Organization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953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01828"/>
                <w:sz w:val="20"/>
              </w:rPr>
              <w:t>Founder / Managing Director</w:t>
            </w:r>
          </w:p>
        </w:tc>
        <w:tc>
          <w:tcPr>
            <w:tcW w:type="dxa" w:w="5953"/>
          </w:tcPr>
          <w:p>
            <w:r/>
            <w:r>
              <w:rPr>
                <w:color w:val="101828"/>
                <w:sz w:val="20"/>
              </w:rPr>
              <w:t>Strategy, partnerships, university relations, funding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01828"/>
                <w:sz w:val="20"/>
              </w:rPr>
              <w:t>Lead Admissions Consultant</w:t>
            </w:r>
          </w:p>
        </w:tc>
        <w:tc>
          <w:tcPr>
            <w:tcW w:type="dxa" w:w="5953"/>
          </w:tcPr>
          <w:p>
            <w:r/>
            <w:r>
              <w:rPr>
                <w:color w:val="101828"/>
                <w:sz w:val="20"/>
              </w:rPr>
              <w:t>Undergraduate &amp; Master’s admissions, quality control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01828"/>
                <w:sz w:val="20"/>
              </w:rPr>
              <w:t>Visa &amp; Travel Specialist</w:t>
            </w:r>
          </w:p>
        </w:tc>
        <w:tc>
          <w:tcPr>
            <w:tcW w:type="dxa" w:w="5953"/>
          </w:tcPr>
          <w:p>
            <w:r/>
            <w:r>
              <w:rPr>
                <w:color w:val="101828"/>
                <w:sz w:val="20"/>
              </w:rPr>
              <w:t>Visa strategy, document compliance, pre-departure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01828"/>
                <w:sz w:val="20"/>
              </w:rPr>
              <w:t>Operations Manager</w:t>
            </w:r>
          </w:p>
        </w:tc>
        <w:tc>
          <w:tcPr>
            <w:tcW w:type="dxa" w:w="5953"/>
          </w:tcPr>
          <w:p>
            <w:r/>
            <w:r>
              <w:rPr>
                <w:color w:val="101828"/>
                <w:sz w:val="20"/>
              </w:rPr>
              <w:t>CRM, scheduling, client experience, team coordination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01828"/>
                <w:sz w:val="20"/>
              </w:rPr>
              <w:t>Marketing Manager</w:t>
            </w:r>
          </w:p>
        </w:tc>
        <w:tc>
          <w:tcPr>
            <w:tcW w:type="dxa" w:w="5953"/>
          </w:tcPr>
          <w:p>
            <w:r/>
            <w:r>
              <w:rPr>
                <w:color w:val="101828"/>
                <w:sz w:val="20"/>
              </w:rPr>
              <w:t>Lead generation, brand, content, partnerships</w:t>
            </w:r>
          </w:p>
        </w:tc>
      </w:tr>
    </w:tbl>
    <w:p/>
    <w:p>
      <w:pPr>
        <w:spacing w:after="120"/>
      </w:pPr>
      <w:r>
        <w:rPr>
          <w:b w:val="0"/>
          <w:i w:val="0"/>
          <w:color w:val="101828"/>
          <w:sz w:val="22"/>
        </w:rPr>
        <w:t>The website already names two client-facing leads: Sarah Okafor (Lead Admissions Consultant) and Daniel Eze (Visa &amp; Travel Specialist), establishing a credible team image from day one.</w:t>
      </w:r>
    </w:p>
    <w:p>
      <w:pPr>
        <w:pStyle w:val="Heading1"/>
      </w:pPr>
      <w:r>
        <w:rPr>
          <w:rFonts w:ascii="Calibri" w:hAnsi="Calibri"/>
          <w:color w:val="103AC0"/>
        </w:rPr>
        <w:t>8. Financial Plan</w:t>
      </w:r>
    </w:p>
    <w:p>
      <w:pPr>
        <w:pStyle w:val="Heading2"/>
      </w:pPr>
      <w:r>
        <w:rPr>
          <w:rFonts w:ascii="Calibri" w:hAnsi="Calibri"/>
          <w:color w:val="101828"/>
        </w:rPr>
        <w:t>8.1 Pricing Summary</w:t>
      </w:r>
    </w:p>
    <w:p>
      <w:pPr>
        <w:spacing w:after="120"/>
      </w:pPr>
      <w:r>
        <w:rPr>
          <w:b w:val="0"/>
          <w:i w:val="0"/>
          <w:color w:val="101828"/>
          <w:sz w:val="22"/>
        </w:rPr>
        <w:t>See Appendix A for the full service fee schedule with add-ons.</w:t>
      </w:r>
    </w:p>
    <w:p>
      <w:pPr>
        <w:pStyle w:val="Heading2"/>
      </w:pPr>
      <w:r>
        <w:rPr>
          <w:rFonts w:ascii="Calibri" w:hAnsi="Calibri"/>
          <w:color w:val="101828"/>
        </w:rPr>
        <w:t>8.2 Year-1 Start-Up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236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35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Cost (₦)</w:t>
            </w:r>
          </w:p>
        </w:tc>
      </w:tr>
      <w:tr>
        <w:tc>
          <w:tcPr>
            <w:tcW w:type="dxa" w:w="6236"/>
          </w:tcPr>
          <w:p>
            <w:r/>
            <w:r>
              <w:rPr>
                <w:color w:val="101828"/>
                <w:sz w:val="20"/>
              </w:rPr>
              <w:t>Company registration &amp; legal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1,000,000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color w:val="101828"/>
                <w:sz w:val="20"/>
              </w:rPr>
              <w:t>Office fit-out &amp; rent deposit (Lekki)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2,500,000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color w:val="101828"/>
                <w:sz w:val="20"/>
              </w:rPr>
              <w:t>Equipment &amp; IT (laptops, phones, CRM setup)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2,500,000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color w:val="101828"/>
                <w:sz w:val="20"/>
              </w:rPr>
              <w:t>Website &amp; digital assets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1,000,000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color w:val="101828"/>
                <w:sz w:val="20"/>
              </w:rPr>
              <w:t>Initial marketing (launch campaign)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3,000,000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color w:val="101828"/>
                <w:sz w:val="20"/>
              </w:rPr>
              <w:t>Working capital buffer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5,000,000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color w:val="101828"/>
                <w:sz w:val="20"/>
              </w:rPr>
              <w:t>Miscellaneous / contingency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1,000,000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color w:val="101828"/>
                <w:sz w:val="20"/>
              </w:rPr>
              <w:t>TOTAL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16,000,000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01828"/>
        </w:rPr>
        <w:t>8.3 Monthly Operating Costs (Year 1, steady state)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236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35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Monthly Cost (₦)</w:t>
            </w:r>
          </w:p>
        </w:tc>
      </w:tr>
      <w:tr>
        <w:tc>
          <w:tcPr>
            <w:tcW w:type="dxa" w:w="6236"/>
          </w:tcPr>
          <w:p>
            <w:r/>
            <w:r>
              <w:rPr>
                <w:color w:val="101828"/>
                <w:sz w:val="20"/>
              </w:rPr>
              <w:t>Salaries (5 staff incl. founder draw)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2,400,000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color w:val="101828"/>
                <w:sz w:val="20"/>
              </w:rPr>
              <w:t>Office rent &amp; utilities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500,000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color w:val="101828"/>
                <w:sz w:val="20"/>
              </w:rPr>
              <w:t>Marketing (digital + events)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800,000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color w:val="101828"/>
                <w:sz w:val="20"/>
              </w:rPr>
              <w:t>Software &amp; CRM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150,000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color w:val="101828"/>
                <w:sz w:val="20"/>
              </w:rPr>
              <w:t>Travel &amp; meetings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200,000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color w:val="101828"/>
                <w:sz w:val="20"/>
              </w:rPr>
              <w:t>Miscellaneous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200,000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color w:val="101828"/>
                <w:sz w:val="20"/>
              </w:rPr>
              <w:t>TOTAL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4,250,000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01828"/>
        </w:rPr>
        <w:t>8.4 Revenue Projection</w:t>
      </w:r>
    </w:p>
    <w:p>
      <w:pPr>
        <w:spacing w:after="120"/>
      </w:pPr>
      <w:r>
        <w:rPr>
          <w:b w:val="0"/>
          <w:i w:val="0"/>
          <w:color w:val="101828"/>
          <w:sz w:val="22"/>
        </w:rPr>
        <w:t>Year 1: ~96 enrolled students → ≈ ₦64.0m revenue, reaching breakeven in month 7. Year 2: ~240 enrolled students → ≈ ₦186.4m revenue, with a 49% net margin after scale-up costs. See Appendix B for the full 24-month model.</w:t>
      </w:r>
    </w:p>
    <w:p>
      <w:pPr>
        <w:pStyle w:val="Heading2"/>
      </w:pPr>
      <w:r>
        <w:rPr>
          <w:rFonts w:ascii="Calibri" w:hAnsi="Calibri"/>
          <w:color w:val="101828"/>
        </w:rPr>
        <w:t>8.5 Key Assumptions</w:t>
      </w:r>
    </w:p>
    <w:p>
      <w:pPr>
        <w:pStyle w:val="ListBullet"/>
      </w:pPr>
      <w:r>
        <w:t>Average fee per student (blended across routes): ₦667,000.</w:t>
      </w:r>
    </w:p>
    <w:p>
      <w:pPr>
        <w:pStyle w:val="ListBullet"/>
      </w:pPr>
      <w:r>
        <w:t>Student acquisition cost stabilises at ~₦85,000 per enrolled student by Year 2.</w:t>
      </w:r>
    </w:p>
    <w:p>
      <w:pPr>
        <w:pStyle w:val="ListBullet"/>
      </w:pPr>
      <w:r>
        <w:t>Payment is 50% on engagement; balance collected within 6 months, supporting working capital.</w:t>
      </w:r>
    </w:p>
    <w:p>
      <w:pPr>
        <w:pStyle w:val="ListBullet"/>
      </w:pPr>
      <w:r>
        <w:t>25% of fees are collected via university commission offsets (margin-neutral).</w:t>
      </w:r>
    </w:p>
    <w:p>
      <w:pPr>
        <w:pStyle w:val="Heading1"/>
      </w:pPr>
      <w:r>
        <w:rPr>
          <w:rFonts w:ascii="Calibri" w:hAnsi="Calibri"/>
          <w:color w:val="103AC0"/>
        </w:rPr>
        <w:t>9. Funding Requirements</w:t>
      </w:r>
    </w:p>
    <w:p>
      <w:pPr>
        <w:spacing w:after="120"/>
      </w:pPr>
      <w:r>
        <w:rPr>
          <w:b w:val="0"/>
          <w:i w:val="0"/>
          <w:color w:val="101828"/>
          <w:sz w:val="22"/>
        </w:rPr>
        <w:t>EU StudyBridge seeks ₦18 million in start-up funding: ₦16 million for the capital expenditure and pre-opening costs in Section 8.2, plus a ₦2 million contingency. Funds will be deployed as follows:</w:t>
      </w:r>
    </w:p>
    <w:p>
      <w:pPr>
        <w:pStyle w:val="ListBullet"/>
      </w:pPr>
      <w:r>
        <w:t>60% — operations and working capital (salaries, rent, tools) to reach breakeven.</w:t>
      </w:r>
    </w:p>
    <w:p>
      <w:pPr>
        <w:pStyle w:val="ListBullet"/>
      </w:pPr>
      <w:r>
        <w:t>25% — brand, marketing, and lead acquisition.</w:t>
      </w:r>
    </w:p>
    <w:p>
      <w:pPr>
        <w:pStyle w:val="ListBullet"/>
      </w:pPr>
      <w:r>
        <w:t>15% — registration, equipment, and office set-up.</w:t>
      </w:r>
    </w:p>
    <w:p>
      <w:pPr>
        <w:spacing w:after="120"/>
      </w:pPr>
      <w:r>
        <w:rPr>
          <w:b w:val="0"/>
          <w:i w:val="0"/>
          <w:color w:val="101828"/>
          <w:sz w:val="22"/>
        </w:rPr>
        <w:t>Investor options: equity (10–15% for ₦18m), a convertible note, or an Islamic-compliant/simple loan with revenue-share terms. Repayment capacity is supported by positive cash flow from month 7 onward.</w:t>
      </w:r>
    </w:p>
    <w:p>
      <w:pPr>
        <w:pStyle w:val="Heading1"/>
      </w:pPr>
      <w:r>
        <w:rPr>
          <w:rFonts w:ascii="Calibri" w:hAnsi="Calibri"/>
          <w:color w:val="103AC0"/>
        </w:rPr>
        <w:t>10. Risks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134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5386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01828"/>
                <w:sz w:val="20"/>
              </w:rPr>
              <w:t>EU visa policy tightening</w:t>
            </w:r>
          </w:p>
        </w:tc>
        <w:tc>
          <w:tcPr>
            <w:tcW w:type="dxa" w:w="1134"/>
          </w:tcPr>
          <w:p>
            <w:r/>
            <w:r>
              <w:rPr>
                <w:color w:val="101828"/>
                <w:sz w:val="20"/>
              </w:rPr>
              <w:t>High</w:t>
            </w:r>
          </w:p>
        </w:tc>
        <w:tc>
          <w:tcPr>
            <w:tcW w:type="dxa" w:w="5386"/>
          </w:tcPr>
          <w:p>
            <w:r/>
            <w:r>
              <w:rPr>
                <w:color w:val="101828"/>
                <w:sz w:val="20"/>
              </w:rPr>
              <w:t>Multi-country portfolio; early visa preparation; compliance expertise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01828"/>
                <w:sz w:val="20"/>
              </w:rPr>
              <w:t>₦/€ currency volatility</w:t>
            </w:r>
          </w:p>
        </w:tc>
        <w:tc>
          <w:tcPr>
            <w:tcW w:type="dxa" w:w="1134"/>
          </w:tcPr>
          <w:p>
            <w:r/>
            <w:r>
              <w:rPr>
                <w:color w:val="101828"/>
                <w:sz w:val="20"/>
              </w:rPr>
              <w:t>Medium</w:t>
            </w:r>
          </w:p>
        </w:tc>
        <w:tc>
          <w:tcPr>
            <w:tcW w:type="dxa" w:w="5386"/>
          </w:tcPr>
          <w:p>
            <w:r/>
            <w:r>
              <w:rPr>
                <w:color w:val="101828"/>
                <w:sz w:val="20"/>
              </w:rPr>
              <w:t>Price fees in ₦ with periodic review; forward-planning for clients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01828"/>
                <w:sz w:val="20"/>
              </w:rPr>
              <w:t>Seasonal demand spikes</w:t>
            </w:r>
          </w:p>
        </w:tc>
        <w:tc>
          <w:tcPr>
            <w:tcW w:type="dxa" w:w="1134"/>
          </w:tcPr>
          <w:p>
            <w:r/>
            <w:r>
              <w:rPr>
                <w:color w:val="101828"/>
                <w:sz w:val="20"/>
              </w:rPr>
              <w:t>Medium</w:t>
            </w:r>
          </w:p>
        </w:tc>
        <w:tc>
          <w:tcPr>
            <w:tcW w:type="dxa" w:w="5386"/>
          </w:tcPr>
          <w:p>
            <w:r/>
            <w:r>
              <w:rPr>
                <w:color w:val="101828"/>
                <w:sz w:val="20"/>
              </w:rPr>
              <w:t>Staggered intakes (Sept/Jan/May); scalable agent capacity model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01828"/>
                <w:sz w:val="20"/>
              </w:rPr>
              <w:t>Competitor price pressure</w:t>
            </w:r>
          </w:p>
        </w:tc>
        <w:tc>
          <w:tcPr>
            <w:tcW w:type="dxa" w:w="1134"/>
          </w:tcPr>
          <w:p>
            <w:r/>
            <w:r>
              <w:rPr>
                <w:color w:val="101828"/>
                <w:sz w:val="20"/>
              </w:rPr>
              <w:t>Medium</w:t>
            </w:r>
          </w:p>
        </w:tc>
        <w:tc>
          <w:tcPr>
            <w:tcW w:type="dxa" w:w="5386"/>
          </w:tcPr>
          <w:p>
            <w:r/>
            <w:r>
              <w:rPr>
                <w:color w:val="101828"/>
                <w:sz w:val="20"/>
              </w:rPr>
              <w:t>Differentiate on dedicated agents, transparency, and success metrics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01828"/>
                <w:sz w:val="20"/>
              </w:rPr>
              <w:t>Reputation risk (industry-wide fake agents)</w:t>
            </w:r>
          </w:p>
        </w:tc>
        <w:tc>
          <w:tcPr>
            <w:tcW w:type="dxa" w:w="1134"/>
          </w:tcPr>
          <w:p>
            <w:r/>
            <w:r>
              <w:rPr>
                <w:color w:val="101828"/>
                <w:sz w:val="20"/>
              </w:rPr>
              <w:t>High</w:t>
            </w:r>
          </w:p>
        </w:tc>
        <w:tc>
          <w:tcPr>
            <w:tcW w:type="dxa" w:w="5386"/>
          </w:tcPr>
          <w:p>
            <w:r/>
            <w:r>
              <w:rPr>
                <w:color w:val="101828"/>
                <w:sz w:val="20"/>
              </w:rPr>
              <w:t>CAC registration, published office, verified reviews, strong documentation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03AC0"/>
        </w:rPr>
        <w:t>11.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7087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Milestones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01828"/>
                <w:sz w:val="20"/>
              </w:rPr>
              <w:t>Months 0–3</w:t>
            </w:r>
          </w:p>
        </w:tc>
        <w:tc>
          <w:tcPr>
            <w:tcW w:type="dxa" w:w="7087"/>
          </w:tcPr>
          <w:p>
            <w:r/>
            <w:r>
              <w:rPr>
                <w:color w:val="101828"/>
                <w:sz w:val="20"/>
              </w:rPr>
              <w:t>Register company, finalise office, hire core team, launch marketing campaign, sign first 5 university partnerships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01828"/>
                <w:sz w:val="20"/>
              </w:rPr>
              <w:t>Months 4–6</w:t>
            </w:r>
          </w:p>
        </w:tc>
        <w:tc>
          <w:tcPr>
            <w:tcW w:type="dxa" w:w="7087"/>
          </w:tcPr>
          <w:p>
            <w:r/>
            <w:r>
              <w:rPr>
                <w:color w:val="101828"/>
                <w:sz w:val="20"/>
              </w:rPr>
              <w:t>First 30 enrolled students; refine CRM and document checklists; establish referral programme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01828"/>
                <w:sz w:val="20"/>
              </w:rPr>
              <w:t>Months 7–12</w:t>
            </w:r>
          </w:p>
        </w:tc>
        <w:tc>
          <w:tcPr>
            <w:tcW w:type="dxa" w:w="7087"/>
          </w:tcPr>
          <w:p>
            <w:r/>
            <w:r>
              <w:rPr>
                <w:color w:val="101828"/>
                <w:sz w:val="20"/>
              </w:rPr>
              <w:t>Reach 96 enrolled students; breakeven; expand to Abuja and Port Harcourt via online channels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01828"/>
                <w:sz w:val="20"/>
              </w:rPr>
              <w:t>Year 2</w:t>
            </w:r>
          </w:p>
        </w:tc>
        <w:tc>
          <w:tcPr>
            <w:tcW w:type="dxa" w:w="7087"/>
          </w:tcPr>
          <w:p>
            <w:r/>
            <w:r>
              <w:rPr>
                <w:color w:val="101828"/>
                <w:sz w:val="20"/>
              </w:rPr>
              <w:t>240 enrolled students; 8 consultants; 15+ university partnerships; premium tier launched; ₦186m revenue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03AC0"/>
        </w:rPr>
        <w:t>Appendix A: Service Fee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85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984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Fee (₦)</w:t>
            </w:r>
          </w:p>
        </w:tc>
        <w:tc>
          <w:tcPr>
            <w:tcW w:type="dxa" w:w="3402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color w:val="101828"/>
                <w:sz w:val="20"/>
              </w:rPr>
              <w:t>Undergraduate route</w:t>
            </w:r>
          </w:p>
        </w:tc>
        <w:tc>
          <w:tcPr>
            <w:tcW w:type="dxa" w:w="1984"/>
          </w:tcPr>
          <w:p>
            <w:r/>
            <w:r>
              <w:rPr>
                <w:color w:val="101828"/>
                <w:sz w:val="20"/>
              </w:rPr>
              <w:t>650,000</w:t>
            </w:r>
          </w:p>
        </w:tc>
        <w:tc>
          <w:tcPr>
            <w:tcW w:type="dxa" w:w="3402"/>
          </w:tcPr>
          <w:p>
            <w:r/>
            <w:r>
              <w:rPr>
                <w:color w:val="101828"/>
                <w:sz w:val="20"/>
              </w:rPr>
              <w:t>Foundation year, direct, or pathway admissions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color w:val="101828"/>
                <w:sz w:val="20"/>
              </w:rPr>
              <w:t>Master’s / Postgraduate route</w:t>
            </w:r>
          </w:p>
        </w:tc>
        <w:tc>
          <w:tcPr>
            <w:tcW w:type="dxa" w:w="1984"/>
          </w:tcPr>
          <w:p>
            <w:r/>
            <w:r>
              <w:rPr>
                <w:color w:val="101828"/>
                <w:sz w:val="20"/>
              </w:rPr>
              <w:t>600,000</w:t>
            </w:r>
          </w:p>
        </w:tc>
        <w:tc>
          <w:tcPr>
            <w:tcW w:type="dxa" w:w="3402"/>
          </w:tcPr>
          <w:p>
            <w:r/>
            <w:r>
              <w:rPr>
                <w:color w:val="101828"/>
                <w:sz w:val="20"/>
              </w:rPr>
              <w:t>Includes SOP/CV and scholarship matching</w:t>
            </w:r>
          </w:p>
        </w:tc>
      </w:tr>
      <w:tr>
        <w:tc>
          <w:tcPr>
            <w:tcW w:type="dxa" w:w="3685"/>
          </w:tcPr>
          <w:p>
            <w:r/>
            <w:r>
              <w:rPr>
                <w:color w:val="101828"/>
                <w:sz w:val="20"/>
              </w:rPr>
              <w:t>Language + Foundation route</w:t>
            </w:r>
          </w:p>
        </w:tc>
        <w:tc>
          <w:tcPr>
            <w:tcW w:type="dxa" w:w="1984"/>
          </w:tcPr>
          <w:p>
            <w:r/>
            <w:r>
              <w:rPr>
                <w:color w:val="101828"/>
                <w:sz w:val="20"/>
              </w:rPr>
              <w:t>500,000</w:t>
            </w:r>
          </w:p>
        </w:tc>
        <w:tc>
          <w:tcPr>
            <w:tcW w:type="dxa" w:w="3402"/>
          </w:tcPr>
          <w:p>
            <w:r/>
            <w:r>
              <w:rPr>
                <w:color w:val="101828"/>
                <w:sz w:val="20"/>
              </w:rPr>
              <w:t>Includes intensive English support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color w:val="101828"/>
                <w:sz w:val="20"/>
              </w:rPr>
              <w:t>Doctoral / Research route</w:t>
            </w:r>
          </w:p>
        </w:tc>
        <w:tc>
          <w:tcPr>
            <w:tcW w:type="dxa" w:w="1984"/>
          </w:tcPr>
          <w:p>
            <w:r/>
            <w:r>
              <w:rPr>
                <w:color w:val="101828"/>
                <w:sz w:val="20"/>
              </w:rPr>
              <w:t>750,000</w:t>
            </w:r>
          </w:p>
        </w:tc>
        <w:tc>
          <w:tcPr>
            <w:tcW w:type="dxa" w:w="3402"/>
          </w:tcPr>
          <w:p>
            <w:r/>
            <w:r>
              <w:rPr>
                <w:color w:val="101828"/>
                <w:sz w:val="20"/>
              </w:rPr>
              <w:t>Supervisor outreach + proposal support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color w:val="101828"/>
                <w:sz w:val="20"/>
              </w:rPr>
              <w:t>Visa &amp; pre-departure add-on</w:t>
            </w:r>
          </w:p>
        </w:tc>
        <w:tc>
          <w:tcPr>
            <w:tcW w:type="dxa" w:w="1984"/>
          </w:tcPr>
          <w:p>
            <w:r/>
            <w:r>
              <w:rPr>
                <w:color w:val="101828"/>
                <w:sz w:val="20"/>
              </w:rPr>
              <w:t>150,000</w:t>
            </w:r>
          </w:p>
        </w:tc>
        <w:tc>
          <w:tcPr>
            <w:tcW w:type="dxa" w:w="3402"/>
          </w:tcPr>
          <w:p>
            <w:r/>
            <w:r>
              <w:rPr>
                <w:color w:val="101828"/>
                <w:sz w:val="20"/>
              </w:rPr>
              <w:t>Insurance, accommodation, interview prep</w:t>
            </w:r>
          </w:p>
        </w:tc>
      </w:tr>
      <w:tr>
        <w:tc>
          <w:tcPr>
            <w:tcW w:type="dxa" w:w="3685"/>
          </w:tcPr>
          <w:p>
            <w:r/>
            <w:r>
              <w:rPr>
                <w:color w:val="101828"/>
                <w:sz w:val="20"/>
              </w:rPr>
              <w:t>Premium managed package</w:t>
            </w:r>
          </w:p>
        </w:tc>
        <w:tc>
          <w:tcPr>
            <w:tcW w:type="dxa" w:w="1984"/>
          </w:tcPr>
          <w:p>
            <w:r/>
            <w:r>
              <w:rPr>
                <w:color w:val="101828"/>
                <w:sz w:val="20"/>
              </w:rPr>
              <w:t>900,000</w:t>
            </w:r>
          </w:p>
        </w:tc>
        <w:tc>
          <w:tcPr>
            <w:tcW w:type="dxa" w:w="3402"/>
          </w:tcPr>
          <w:p>
            <w:r/>
            <w:r>
              <w:rPr>
                <w:color w:val="101828"/>
                <w:sz w:val="20"/>
              </w:rPr>
              <w:t>Priority + concierge arrival support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03AC0"/>
        </w:rPr>
        <w:t>Appendix B: 24-Month Financial Projection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35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Year 1</w:t>
            </w:r>
          </w:p>
        </w:tc>
        <w:tc>
          <w:tcPr>
            <w:tcW w:type="dxa" w:w="2835"/>
            <w:shd w:val="clear" w:fill="103AC0"/>
          </w:tcPr>
          <w:p>
            <w:r/>
            <w:r>
              <w:rPr>
                <w:b/>
                <w:color w:val="FFFFFF"/>
                <w:sz w:val="20"/>
              </w:rPr>
              <w:t>Year 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101828"/>
                <w:sz w:val="20"/>
              </w:rPr>
              <w:t>Enrolled students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96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240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101828"/>
                <w:sz w:val="20"/>
              </w:rPr>
              <w:t>Average fee (₦)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667,000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690,000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101828"/>
                <w:sz w:val="20"/>
              </w:rPr>
              <w:t>Gross revenue (₦)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64,000,000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186,400,000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101828"/>
                <w:sz w:val="20"/>
              </w:rPr>
              <w:t>Direct service costs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19,200,000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46,600,000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101828"/>
                <w:sz w:val="20"/>
              </w:rPr>
              <w:t>Operating expenses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36,000,000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64,000,000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101828"/>
                <w:sz w:val="20"/>
              </w:rPr>
              <w:t>Net profit (₦)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8,800,000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75,800,000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101828"/>
                <w:sz w:val="20"/>
              </w:rPr>
              <w:t>Net margin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14%</w:t>
            </w:r>
          </w:p>
        </w:tc>
        <w:tc>
          <w:tcPr>
            <w:tcW w:type="dxa" w:w="2835"/>
          </w:tcPr>
          <w:p>
            <w:r/>
            <w:r>
              <w:rPr>
                <w:color w:val="101828"/>
                <w:sz w:val="20"/>
              </w:rPr>
              <w:t>41%</w:t>
            </w:r>
          </w:p>
        </w:tc>
      </w:tr>
    </w:tbl>
    <w:p/>
    <w:p>
      <w:pPr>
        <w:spacing w:after="120"/>
      </w:pPr>
      <w:r>
        <w:rPr>
          <w:b w:val="0"/>
          <w:i/>
          <w:color w:val="52607A"/>
          <w:sz w:val="18"/>
        </w:rPr>
        <w:t>Note: Year-2 margin rises as marketing cost per student falls and agent capacity doubles with only two additional hires. Figures are planning estimates and should be revisited quarterly against live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01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03AC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01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