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84416479"/>
        <w:docPartObj>
          <w:docPartGallery w:val="Cover Pages"/>
          <w:docPartUnique/>
        </w:docPartObj>
      </w:sdtPr>
      <w:sdtContent>
        <w:p w14:paraId="22100073" w14:textId="45177035" w:rsidR="00AE38C5" w:rsidRDefault="00AE38C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EDF64C" wp14:editId="134B2063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535259</wp:posOffset>
                    </wp:positionV>
                    <wp:extent cx="6924907" cy="9193691"/>
                    <wp:effectExtent l="0" t="0" r="0" b="1270"/>
                    <wp:wrapNone/>
                    <wp:docPr id="119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24907" cy="9193691"/>
                              <a:chOff x="0" y="78059"/>
                              <a:chExt cx="6924907" cy="9193691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74D81A" w14:textId="62AECCDC" w:rsidR="00AE38C5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alias w:val="Author"/>
                                      <w:tag w:val=""/>
                                      <w:id w:val="88414185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 w:rsidR="00AE38C5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Krishna Chaitanya</w:t>
                                      </w:r>
                                    </w:sdtContent>
                                  </w:sdt>
                                  <w:r w:rsidR="00AE38C5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Uppalapati</w:t>
                                  </w:r>
                                </w:p>
                                <w:p w14:paraId="0ADA5CD0" w14:textId="77777777" w:rsidR="00AE38C5" w:rsidRDefault="00AE38C5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Arvind Kumar Gill</w:t>
                                  </w:r>
                                </w:p>
                                <w:p w14:paraId="66AD84AF" w14:textId="77777777" w:rsidR="00AE38C5" w:rsidRDefault="00AE38C5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Ramita Akella</w:t>
                                  </w:r>
                                </w:p>
                                <w:p w14:paraId="6E14F8C2" w14:textId="435FE2CB" w:rsidR="00AE38C5" w:rsidRDefault="00AE38C5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Sridhar Sneha </w:t>
                                  </w:r>
                                </w:p>
                                <w:p w14:paraId="15933C16" w14:textId="2B12E4BC" w:rsidR="00AE38C5" w:rsidRDefault="00AE38C5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66907" y="78059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E2841" w:themeColor="text2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6753A5D" w14:textId="48FCB63F" w:rsidR="00AE38C5" w:rsidRPr="00AE38C5" w:rsidRDefault="00AE38C5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0E2841" w:themeColor="text2"/>
                                          <w:sz w:val="56"/>
                                          <w:szCs w:val="56"/>
                                        </w:rPr>
                                      </w:pPr>
                                      <w:r w:rsidRPr="00AE38C5">
                                        <w:rPr>
                                          <w:rFonts w:asciiTheme="majorHAnsi" w:eastAsiaTheme="majorEastAsia" w:hAnsiTheme="majorHAnsi" w:cstheme="majorBidi"/>
                                          <w:color w:val="0E2841" w:themeColor="text2"/>
                                          <w:sz w:val="56"/>
                                          <w:szCs w:val="56"/>
                                        </w:rPr>
                                        <w:t>Corporate Risk Management Report: Key Drivers &amp; Financial Impact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i/>
                                      <w:iCs/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A4CD003" w14:textId="6AA559FA" w:rsidR="00AE38C5" w:rsidRDefault="009F392D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Company: Valero Energy Corporation Date: December 12, 2025Subject: Analysis of Stochastic Drivers Affecting Financial Statements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AEDF64C" id="Group 4" o:spid="_x0000_s1026" style="position:absolute;margin-left:36pt;margin-top:42.15pt;width:545.25pt;height:723.9pt;z-index:-251657216;mso-position-horizontal-relative:page;mso-position-vertical-relative:page" coordorigin=",780" coordsize="69249,919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&#13;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" fillcolor="#156082 [3204]" stroked="f" strokeweight="1.5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" fillcolor="#e97132 [3205]" stroked="f" strokeweight="1.5pt">
                      <v:textbox inset="36pt,14.4pt,36pt,36pt">
                        <w:txbxContent>
                          <w:p w14:paraId="5874D81A" w14:textId="62AECCDC" w:rsidR="00AE38C5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alias w:val="Author"/>
                                <w:tag w:val=""/>
                                <w:id w:val="88414185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AE38C5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Krishna Chaitanya</w:t>
                                </w:r>
                              </w:sdtContent>
                            </w:sdt>
                            <w:r w:rsidR="00AE38C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Uppalapati</w:t>
                            </w:r>
                          </w:p>
                          <w:p w14:paraId="0ADA5CD0" w14:textId="77777777" w:rsidR="00AE38C5" w:rsidRDefault="00AE38C5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Arvind Kumar Gill</w:t>
                            </w:r>
                          </w:p>
                          <w:p w14:paraId="66AD84AF" w14:textId="77777777" w:rsidR="00AE38C5" w:rsidRDefault="00AE38C5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Ramita Akella</w:t>
                            </w:r>
                          </w:p>
                          <w:p w14:paraId="6E14F8C2" w14:textId="435FE2CB" w:rsidR="00AE38C5" w:rsidRDefault="00AE38C5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Sridhar Sneha </w:t>
                            </w:r>
                          </w:p>
                          <w:p w14:paraId="15933C16" w14:textId="2B12E4BC" w:rsidR="00AE38C5" w:rsidRDefault="00AE38C5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left:669;top:780;width:68580;height:731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&#13;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E2841" w:themeColor="text2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6753A5D" w14:textId="48FCB63F" w:rsidR="00AE38C5" w:rsidRPr="00AE38C5" w:rsidRDefault="00AE38C5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56"/>
                                    <w:szCs w:val="56"/>
                                  </w:rPr>
                                </w:pPr>
                                <w:r w:rsidRPr="00AE38C5"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56"/>
                                    <w:szCs w:val="56"/>
                                  </w:rPr>
                                  <w:t>Corporate Risk Management Report: Key Drivers &amp; Financial Impact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i/>
                                <w:iCs/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A4CD003" w14:textId="6AA559FA" w:rsidR="00AE38C5" w:rsidRDefault="009F392D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Company: Valero Energy Corporation Date: December 12, 2025Subject: Analysis of Stochastic Drivers Affecting Financial Statements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E9CAC4C" w14:textId="52E45E91" w:rsidR="00C50F40" w:rsidRDefault="00AE38C5">
          <w:r>
            <w:br w:type="page"/>
          </w:r>
        </w:p>
        <w:p w14:paraId="1463DB36" w14:textId="08B30D0A" w:rsidR="00272750" w:rsidRDefault="00374187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lastRenderedPageBreak/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6524885" w:history="1">
            <w:r w:rsidR="00272750" w:rsidRPr="00C10F28">
              <w:rPr>
                <w:rStyle w:val="Hyperlink"/>
                <w:noProof/>
              </w:rPr>
              <w:t>1</w:t>
            </w:r>
            <w:r w:rsidR="00272750"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="00272750" w:rsidRPr="00C10F28">
              <w:rPr>
                <w:rStyle w:val="Hyperlink"/>
                <w:noProof/>
              </w:rPr>
              <w:t>Executive Summary</w:t>
            </w:r>
            <w:r w:rsidR="00272750">
              <w:rPr>
                <w:noProof/>
                <w:webHidden/>
              </w:rPr>
              <w:tab/>
            </w:r>
            <w:r w:rsidR="00272750">
              <w:rPr>
                <w:noProof/>
                <w:webHidden/>
              </w:rPr>
              <w:fldChar w:fldCharType="begin"/>
            </w:r>
            <w:r w:rsidR="00272750">
              <w:rPr>
                <w:noProof/>
                <w:webHidden/>
              </w:rPr>
              <w:instrText xml:space="preserve"> PAGEREF _Toc216524885 \h </w:instrText>
            </w:r>
            <w:r w:rsidR="00272750">
              <w:rPr>
                <w:noProof/>
                <w:webHidden/>
              </w:rPr>
            </w:r>
            <w:r w:rsidR="00272750">
              <w:rPr>
                <w:noProof/>
                <w:webHidden/>
              </w:rPr>
              <w:fldChar w:fldCharType="separate"/>
            </w:r>
            <w:r w:rsidR="00272750">
              <w:rPr>
                <w:noProof/>
                <w:webHidden/>
              </w:rPr>
              <w:t>2</w:t>
            </w:r>
            <w:r w:rsidR="00272750">
              <w:rPr>
                <w:noProof/>
                <w:webHidden/>
              </w:rPr>
              <w:fldChar w:fldCharType="end"/>
            </w:r>
          </w:hyperlink>
        </w:p>
        <w:p w14:paraId="55DD5333" w14:textId="4F1AEAC9" w:rsidR="00272750" w:rsidRDefault="00272750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524886" w:history="1">
            <w:r w:rsidRPr="00C10F2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10F2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DA84A" w14:textId="6DEA7FA8" w:rsidR="00272750" w:rsidRDefault="00272750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524887" w:history="1">
            <w:r w:rsidRPr="00C10F2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10F28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F3C7" w14:textId="4F46ADC5" w:rsidR="00272750" w:rsidRDefault="00272750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524888" w:history="1">
            <w:r w:rsidRPr="00C10F28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10F28">
              <w:rPr>
                <w:rStyle w:val="Hyperlink"/>
                <w:noProof/>
              </w:rPr>
              <w:t>Market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DEB6B" w14:textId="42BDA05C" w:rsidR="00272750" w:rsidRDefault="00272750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524889" w:history="1">
            <w:r w:rsidRPr="00C10F28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10F28">
              <w:rPr>
                <w:rStyle w:val="Hyperlink"/>
                <w:noProof/>
              </w:rPr>
              <w:t>Operational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1E57" w14:textId="2C7A6437" w:rsidR="00272750" w:rsidRDefault="00272750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524890" w:history="1">
            <w:r w:rsidRPr="00C10F28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10F28">
              <w:rPr>
                <w:rStyle w:val="Hyperlink"/>
                <w:noProof/>
              </w:rPr>
              <w:t>Regulatory &amp; Environmental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1F1D5" w14:textId="730498CF" w:rsidR="00272750" w:rsidRDefault="00272750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524891" w:history="1">
            <w:r w:rsidRPr="00C10F28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10F28">
              <w:rPr>
                <w:rStyle w:val="Hyperlink"/>
                <w:noProof/>
              </w:rPr>
              <w:t>Simulation Results: Finance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74662" w14:textId="1C247BC1" w:rsidR="00272750" w:rsidRDefault="00272750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524892" w:history="1">
            <w:r w:rsidRPr="00C10F28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10F28">
              <w:rPr>
                <w:rStyle w:val="Hyperlink"/>
                <w:noProof/>
              </w:rPr>
              <w:t>Scenario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3D474" w14:textId="77CAB4EC" w:rsidR="00272750" w:rsidRDefault="00272750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524893" w:history="1">
            <w:r w:rsidRPr="00C10F28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10F28">
              <w:rPr>
                <w:rStyle w:val="Hyperlink"/>
                <w:noProof/>
              </w:rPr>
              <w:t>Recommendations &amp; Strategic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181F" w14:textId="2B56BD74" w:rsidR="00272750" w:rsidRDefault="00272750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524894" w:history="1">
            <w:r w:rsidRPr="00C10F28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10F28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16A7" w14:textId="059BE279" w:rsidR="00272750" w:rsidRDefault="00272750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16524895" w:history="1">
            <w:r w:rsidRPr="00C10F28">
              <w:rPr>
                <w:rStyle w:val="Hyperlink"/>
                <w:noProof/>
              </w:rPr>
              <w:t>11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10F28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3DFE2" w14:textId="40BE0A1E" w:rsidR="00C50F40" w:rsidRDefault="00374187">
          <w:r>
            <w:fldChar w:fldCharType="end"/>
          </w:r>
        </w:p>
        <w:p w14:paraId="3FF7C267" w14:textId="77777777" w:rsidR="00C50F40" w:rsidRDefault="00C50F40"/>
        <w:p w14:paraId="09B2441E" w14:textId="77777777" w:rsidR="00C50F40" w:rsidRDefault="00C50F40"/>
        <w:p w14:paraId="725C4945" w14:textId="77777777" w:rsidR="00C50F40" w:rsidRDefault="00C50F40"/>
        <w:p w14:paraId="4A637102" w14:textId="77777777" w:rsidR="00C50F40" w:rsidRDefault="00C50F40"/>
        <w:p w14:paraId="01AF8EA4" w14:textId="77777777" w:rsidR="00C50F40" w:rsidRDefault="00C50F40"/>
        <w:p w14:paraId="5ED36AA6" w14:textId="77777777" w:rsidR="00C50F40" w:rsidRDefault="00C50F40"/>
        <w:p w14:paraId="34188148" w14:textId="77777777" w:rsidR="00C50F40" w:rsidRDefault="00C50F40"/>
        <w:p w14:paraId="31E5CEC7" w14:textId="77777777" w:rsidR="00C50F40" w:rsidRDefault="00C50F40"/>
        <w:p w14:paraId="53F04E71" w14:textId="77777777" w:rsidR="00C50F40" w:rsidRDefault="00C50F40"/>
        <w:p w14:paraId="653B93C1" w14:textId="77777777" w:rsidR="00C50F40" w:rsidRDefault="00C50F40"/>
        <w:p w14:paraId="552DAD2B" w14:textId="77777777" w:rsidR="00C50F40" w:rsidRDefault="00C50F40"/>
        <w:p w14:paraId="7BCFC96A" w14:textId="77777777" w:rsidR="00C50F40" w:rsidRDefault="00C50F40"/>
        <w:p w14:paraId="514C136B" w14:textId="77777777" w:rsidR="00C50F40" w:rsidRDefault="00C50F40"/>
        <w:p w14:paraId="698121F6" w14:textId="77777777" w:rsidR="00C50F40" w:rsidRDefault="00C50F40"/>
        <w:p w14:paraId="23BF31B4" w14:textId="017A9C85" w:rsidR="00AE38C5" w:rsidRDefault="00000000"/>
      </w:sdtContent>
    </w:sdt>
    <w:p w14:paraId="531DEB29" w14:textId="0F81FEBA" w:rsidR="007452A5" w:rsidRDefault="007452A5" w:rsidP="00711132">
      <w:pPr>
        <w:pStyle w:val="Heading1"/>
        <w:spacing w:line="276" w:lineRule="auto"/>
      </w:pPr>
      <w:bookmarkStart w:id="0" w:name="_Toc216524885"/>
      <w:r>
        <w:lastRenderedPageBreak/>
        <w:t>Executive Summary</w:t>
      </w:r>
      <w:bookmarkEnd w:id="0"/>
    </w:p>
    <w:p w14:paraId="02E3F118" w14:textId="352F77E7" w:rsidR="007452A5" w:rsidRPr="00183B20" w:rsidRDefault="007452A5" w:rsidP="00711132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  <w:b/>
          <w:bCs/>
        </w:rPr>
      </w:pPr>
      <w:r w:rsidRPr="00183B20">
        <w:rPr>
          <w:rFonts w:ascii="Arial" w:hAnsi="Arial" w:cs="Arial"/>
          <w:b/>
          <w:bCs/>
        </w:rPr>
        <w:t>Overview</w:t>
      </w:r>
      <w:r w:rsidR="003037C0">
        <w:rPr>
          <w:rFonts w:ascii="Arial" w:hAnsi="Arial" w:cs="Arial"/>
          <w:b/>
          <w:bCs/>
        </w:rPr>
        <w:t>:</w:t>
      </w:r>
    </w:p>
    <w:p w14:paraId="079B112A" w14:textId="77F4B013" w:rsidR="007452A5" w:rsidRPr="00183B20" w:rsidRDefault="007452A5" w:rsidP="00711132">
      <w:pPr>
        <w:pStyle w:val="ListParagraph"/>
        <w:spacing w:line="276" w:lineRule="auto"/>
        <w:ind w:left="792"/>
        <w:rPr>
          <w:rFonts w:ascii="Arial" w:hAnsi="Arial" w:cs="Arial"/>
        </w:rPr>
      </w:pPr>
      <w:r w:rsidRPr="00183B20">
        <w:rPr>
          <w:rFonts w:ascii="Arial" w:hAnsi="Arial" w:cs="Arial"/>
        </w:rPr>
        <w:t xml:space="preserve">This report presents a comprehensive risk analysis of Valero Energy Corporation’s financial outlook. By utilizing a stochastic modeling approach (Monte Carlo simulation) across 5,000 iterations, we have isolated the key drivers of financial volatility. The analysis integrates three distinct risk pillars: </w:t>
      </w:r>
      <w:r w:rsidRPr="00183B20">
        <w:rPr>
          <w:rFonts w:ascii="Arial" w:hAnsi="Arial" w:cs="Arial"/>
          <w:b/>
          <w:bCs/>
        </w:rPr>
        <w:t>Market Risk</w:t>
      </w:r>
      <w:r w:rsidRPr="00183B20">
        <w:rPr>
          <w:rFonts w:ascii="Arial" w:hAnsi="Arial" w:cs="Arial"/>
        </w:rPr>
        <w:t xml:space="preserve"> (Commodity prices), </w:t>
      </w:r>
      <w:r w:rsidRPr="00183B20">
        <w:rPr>
          <w:rFonts w:ascii="Arial" w:hAnsi="Arial" w:cs="Arial"/>
          <w:b/>
          <w:bCs/>
        </w:rPr>
        <w:t>Operational Risk</w:t>
      </w:r>
      <w:r w:rsidRPr="00183B20">
        <w:rPr>
          <w:rFonts w:ascii="Arial" w:hAnsi="Arial" w:cs="Arial"/>
        </w:rPr>
        <w:t xml:space="preserve"> (Refinery Utilization), and </w:t>
      </w:r>
      <w:r w:rsidRPr="00183B20">
        <w:rPr>
          <w:rFonts w:ascii="Arial" w:hAnsi="Arial" w:cs="Arial"/>
          <w:b/>
          <w:bCs/>
        </w:rPr>
        <w:t>Regulatory Risk</w:t>
      </w:r>
      <w:r w:rsidRPr="00183B20">
        <w:rPr>
          <w:rFonts w:ascii="Arial" w:hAnsi="Arial" w:cs="Arial"/>
        </w:rPr>
        <w:t xml:space="preserve"> (Environmental Compliance).  </w:t>
      </w:r>
    </w:p>
    <w:p w14:paraId="1BD7D013" w14:textId="07286ECE" w:rsidR="007452A5" w:rsidRPr="00183B20" w:rsidRDefault="007452A5" w:rsidP="00711132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  <w:b/>
          <w:bCs/>
        </w:rPr>
      </w:pPr>
      <w:r w:rsidRPr="00183B20">
        <w:rPr>
          <w:rFonts w:ascii="Arial" w:hAnsi="Arial" w:cs="Arial"/>
          <w:b/>
          <w:bCs/>
        </w:rPr>
        <w:t>Key Findings</w:t>
      </w:r>
      <w:r w:rsidR="003037C0">
        <w:rPr>
          <w:rFonts w:ascii="Arial" w:hAnsi="Arial" w:cs="Arial"/>
          <w:b/>
          <w:bCs/>
        </w:rPr>
        <w:t>:</w:t>
      </w:r>
    </w:p>
    <w:p w14:paraId="0141ADEF" w14:textId="64BC127F" w:rsidR="007452A5" w:rsidRDefault="00183B20" w:rsidP="00711132">
      <w:pPr>
        <w:pStyle w:val="ListParagraph"/>
        <w:spacing w:line="276" w:lineRule="auto"/>
        <w:rPr>
          <w:rFonts w:ascii="Arial" w:hAnsi="Arial" w:cs="Arial"/>
        </w:rPr>
      </w:pPr>
      <w:r w:rsidRPr="00183B20">
        <w:rPr>
          <w:rFonts w:ascii="Arial" w:hAnsi="Arial" w:cs="Arial"/>
        </w:rPr>
        <w:t xml:space="preserve">Our simulations indicate that while Valero remains robust in Normal market conditions, there are significant asymmetric risks identified in the </w:t>
      </w:r>
      <w:r w:rsidR="00C50F40">
        <w:rPr>
          <w:rFonts w:ascii="Arial" w:hAnsi="Arial" w:cs="Arial"/>
        </w:rPr>
        <w:t>f</w:t>
      </w:r>
      <w:r w:rsidRPr="00183B20">
        <w:rPr>
          <w:rFonts w:ascii="Arial" w:hAnsi="Arial" w:cs="Arial"/>
        </w:rPr>
        <w:t xml:space="preserve">at </w:t>
      </w:r>
      <w:r w:rsidR="00C50F40">
        <w:rPr>
          <w:rFonts w:ascii="Arial" w:hAnsi="Arial" w:cs="Arial"/>
        </w:rPr>
        <w:t>t</w:t>
      </w:r>
      <w:r w:rsidRPr="00183B20">
        <w:rPr>
          <w:rFonts w:ascii="Arial" w:hAnsi="Arial" w:cs="Arial"/>
        </w:rPr>
        <w:t>ails of the probability distributions.</w:t>
      </w:r>
    </w:p>
    <w:p w14:paraId="300CF85C" w14:textId="4CD5401B" w:rsidR="00183B20" w:rsidRDefault="00183B20" w:rsidP="00711132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83B20">
        <w:rPr>
          <w:rFonts w:ascii="Arial" w:hAnsi="Arial" w:cs="Arial"/>
          <w:b/>
          <w:bCs/>
        </w:rPr>
        <w:t>Market Risk (The Revenue Driver)</w:t>
      </w:r>
      <w:r w:rsidRPr="00183B20">
        <w:rPr>
          <w:rFonts w:ascii="Arial" w:hAnsi="Arial" w:cs="Arial"/>
        </w:rPr>
        <w:t xml:space="preserve">: Refining margins, specifically the ULS Diesel Spread (Mean: $20.60/bbl) and CBOB Gasoline Spread (Mean: $14.91/bbl), remain the primary determinants of Operating Income. A standard deviation of </w:t>
      </w:r>
      <w:r w:rsidR="00C50F40">
        <w:rPr>
          <w:rFonts w:ascii="Arial" w:hAnsi="Arial" w:cs="Arial"/>
        </w:rPr>
        <w:t xml:space="preserve">Approx. </w:t>
      </w:r>
      <w:r w:rsidRPr="00183B20">
        <w:rPr>
          <w:rFonts w:ascii="Arial" w:hAnsi="Arial" w:cs="Arial"/>
        </w:rPr>
        <w:t>$4.12 in Diesel spreads represents the largest single source of revenue volatility.</w:t>
      </w:r>
    </w:p>
    <w:p w14:paraId="5DA7BA6F" w14:textId="45F68969" w:rsidR="00183B20" w:rsidRDefault="00183B20" w:rsidP="00711132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83B20">
        <w:rPr>
          <w:rFonts w:ascii="Arial" w:hAnsi="Arial" w:cs="Arial"/>
          <w:b/>
          <w:bCs/>
        </w:rPr>
        <w:t>Operational Risk (The Balance Sheet Driver)</w:t>
      </w:r>
      <w:r w:rsidRPr="00183B20">
        <w:rPr>
          <w:rFonts w:ascii="Arial" w:hAnsi="Arial" w:cs="Arial"/>
        </w:rPr>
        <w:t>: Refinery utilization is not merely a production metric but a critical financial lever. Our analysis confirms a direct correlation between Utilization Rates (ranging from 77% to 96%) and</w:t>
      </w:r>
      <w:r>
        <w:rPr>
          <w:rFonts w:ascii="Arial" w:hAnsi="Arial" w:cs="Arial"/>
        </w:rPr>
        <w:t xml:space="preserve"> Inventory, Accounts Payable and COGS</w:t>
      </w:r>
      <w:r w:rsidRPr="00183B20">
        <w:rPr>
          <w:rFonts w:ascii="Arial" w:hAnsi="Arial" w:cs="Arial"/>
        </w:rPr>
        <w:t>. A drop in utilization triggers a contraction in Accounts Payable ($12.0B baseline) while Inventory values ($7.7B baseline) remain sticky</w:t>
      </w:r>
      <w:r>
        <w:rPr>
          <w:rFonts w:ascii="Arial" w:hAnsi="Arial" w:cs="Arial"/>
        </w:rPr>
        <w:t>.</w:t>
      </w:r>
    </w:p>
    <w:p w14:paraId="5CA2991F" w14:textId="3F3DE821" w:rsidR="00183B20" w:rsidRPr="00183B20" w:rsidRDefault="00183B20" w:rsidP="00711132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183B20">
        <w:rPr>
          <w:rFonts w:ascii="Arial" w:hAnsi="Arial" w:cs="Arial"/>
          <w:b/>
          <w:bCs/>
        </w:rPr>
        <w:t>Regulatory Risk (The Liability Driver)</w:t>
      </w:r>
      <w:r w:rsidRPr="00183B20">
        <w:rPr>
          <w:rFonts w:ascii="Arial" w:hAnsi="Arial" w:cs="Arial"/>
        </w:rPr>
        <w:t>: Environmental compliance costs exhibit high volatility. With LCFS prices showing a standard deviation of $61.17 and RIN prices fluctuating significantly, the 5% Value at Risk (VaR) for regulatory costs is estimated at $530 Million. Furthermore, regulatory tightening scenarios necessitate a $150 Million increase in Asset Retirement Obligations (ARO) on the Balance Sheet.</w:t>
      </w:r>
    </w:p>
    <w:p w14:paraId="47B273AB" w14:textId="786D28D1" w:rsidR="00183B20" w:rsidRPr="00183B20" w:rsidRDefault="00183B20" w:rsidP="00711132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</w:rPr>
      </w:pPr>
      <w:r w:rsidRPr="003037C0">
        <w:rPr>
          <w:rFonts w:ascii="Arial" w:hAnsi="Arial" w:cs="Arial"/>
          <w:b/>
          <w:bCs/>
        </w:rPr>
        <w:t>Financial Projection Summary</w:t>
      </w:r>
      <w:r w:rsidR="003037C0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br/>
      </w:r>
      <w:r w:rsidRPr="00183B20">
        <w:rPr>
          <w:rFonts w:ascii="Arial" w:hAnsi="Arial" w:cs="Arial"/>
        </w:rPr>
        <w:t>Based on the Weighted Simulation scenarios, the projected financial outcomes for FY 2025 are as follows:</w:t>
      </w:r>
    </w:p>
    <w:p w14:paraId="240C3B91" w14:textId="77777777" w:rsidR="00183B20" w:rsidRPr="00183B20" w:rsidRDefault="00183B20" w:rsidP="00711132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183B20">
        <w:rPr>
          <w:rFonts w:ascii="Arial" w:hAnsi="Arial" w:cs="Arial"/>
        </w:rPr>
        <w:t>Projected Operating Income:</w:t>
      </w:r>
    </w:p>
    <w:p w14:paraId="0455F85B" w14:textId="53A0F365" w:rsidR="00183B20" w:rsidRPr="00183B20" w:rsidRDefault="00183B20" w:rsidP="00711132">
      <w:pPr>
        <w:pStyle w:val="ListParagraph"/>
        <w:numPr>
          <w:ilvl w:val="1"/>
          <w:numId w:val="6"/>
        </w:numPr>
        <w:spacing w:line="276" w:lineRule="auto"/>
        <w:rPr>
          <w:rFonts w:ascii="Arial" w:hAnsi="Arial" w:cs="Arial"/>
        </w:rPr>
      </w:pPr>
      <w:r w:rsidRPr="00183B20">
        <w:rPr>
          <w:rFonts w:ascii="Arial" w:hAnsi="Arial" w:cs="Arial"/>
        </w:rPr>
        <w:t xml:space="preserve">Baseline/Reported: </w:t>
      </w:r>
      <w:r w:rsidR="00C50F40">
        <w:rPr>
          <w:rFonts w:ascii="Arial" w:hAnsi="Arial" w:cs="Arial"/>
        </w:rPr>
        <w:t xml:space="preserve">Approx. </w:t>
      </w:r>
      <w:r w:rsidRPr="00183B20">
        <w:rPr>
          <w:rFonts w:ascii="Arial" w:hAnsi="Arial" w:cs="Arial"/>
        </w:rPr>
        <w:t>$3.84 billion</w:t>
      </w:r>
    </w:p>
    <w:p w14:paraId="712563E4" w14:textId="6CF4B756" w:rsidR="00183B20" w:rsidRPr="00183B20" w:rsidRDefault="00183B20" w:rsidP="00711132">
      <w:pPr>
        <w:pStyle w:val="ListParagraph"/>
        <w:numPr>
          <w:ilvl w:val="1"/>
          <w:numId w:val="6"/>
        </w:numPr>
        <w:spacing w:line="276" w:lineRule="auto"/>
        <w:rPr>
          <w:rFonts w:ascii="Arial" w:hAnsi="Arial" w:cs="Arial"/>
        </w:rPr>
      </w:pPr>
      <w:r w:rsidRPr="00183B20">
        <w:rPr>
          <w:rFonts w:ascii="Arial" w:hAnsi="Arial" w:cs="Arial"/>
        </w:rPr>
        <w:t xml:space="preserve">Simulated Mean: </w:t>
      </w:r>
      <w:r w:rsidR="00C50F40">
        <w:rPr>
          <w:rFonts w:ascii="Arial" w:hAnsi="Arial" w:cs="Arial"/>
        </w:rPr>
        <w:t>Approx.</w:t>
      </w:r>
      <w:r w:rsidRPr="00183B20">
        <w:rPr>
          <w:rFonts w:ascii="Arial" w:hAnsi="Arial" w:cs="Arial"/>
        </w:rPr>
        <w:t>$3.15 billion</w:t>
      </w:r>
    </w:p>
    <w:p w14:paraId="427621CE" w14:textId="78D247A5" w:rsidR="00183B20" w:rsidRPr="00183B20" w:rsidRDefault="00183B20" w:rsidP="00711132">
      <w:pPr>
        <w:pStyle w:val="ListParagraph"/>
        <w:numPr>
          <w:ilvl w:val="1"/>
          <w:numId w:val="6"/>
        </w:numPr>
        <w:spacing w:line="276" w:lineRule="auto"/>
        <w:rPr>
          <w:rFonts w:ascii="Arial" w:hAnsi="Arial" w:cs="Arial"/>
        </w:rPr>
      </w:pPr>
      <w:r w:rsidRPr="00183B20">
        <w:rPr>
          <w:rFonts w:ascii="Arial" w:hAnsi="Arial" w:cs="Arial"/>
        </w:rPr>
        <w:t xml:space="preserve">Worst Case Scenario: </w:t>
      </w:r>
      <w:r w:rsidR="00C50F40">
        <w:rPr>
          <w:rFonts w:ascii="Arial" w:hAnsi="Arial" w:cs="Arial"/>
        </w:rPr>
        <w:t xml:space="preserve">Approx. </w:t>
      </w:r>
      <w:r w:rsidRPr="00183B20">
        <w:rPr>
          <w:rFonts w:ascii="Arial" w:hAnsi="Arial" w:cs="Arial"/>
        </w:rPr>
        <w:t>$2.81 billion</w:t>
      </w:r>
    </w:p>
    <w:p w14:paraId="57C42676" w14:textId="77777777" w:rsidR="003037C0" w:rsidRDefault="00183B20" w:rsidP="00711132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183B20">
        <w:rPr>
          <w:rFonts w:ascii="Arial" w:hAnsi="Arial" w:cs="Arial"/>
        </w:rPr>
        <w:t>Liquidity Exposure:</w:t>
      </w:r>
    </w:p>
    <w:p w14:paraId="34B40865" w14:textId="265AABFA" w:rsidR="00183B20" w:rsidRPr="003037C0" w:rsidRDefault="00183B20" w:rsidP="00711132">
      <w:pPr>
        <w:pStyle w:val="ListParagraph"/>
        <w:numPr>
          <w:ilvl w:val="1"/>
          <w:numId w:val="6"/>
        </w:numPr>
        <w:spacing w:line="276" w:lineRule="auto"/>
        <w:rPr>
          <w:rFonts w:ascii="Arial" w:hAnsi="Arial" w:cs="Arial"/>
        </w:rPr>
      </w:pPr>
      <w:r w:rsidRPr="00C50F40">
        <w:rPr>
          <w:rFonts w:ascii="Arial" w:hAnsi="Arial" w:cs="Arial"/>
        </w:rPr>
        <w:t>In Low Utilization</w:t>
      </w:r>
      <w:r w:rsidR="00C50F40" w:rsidRPr="00C50F40">
        <w:rPr>
          <w:rFonts w:ascii="Arial" w:hAnsi="Arial" w:cs="Arial"/>
        </w:rPr>
        <w:t xml:space="preserve"> </w:t>
      </w:r>
      <w:r w:rsidRPr="00C50F40">
        <w:rPr>
          <w:rFonts w:ascii="Arial" w:hAnsi="Arial" w:cs="Arial"/>
        </w:rPr>
        <w:t>scenarios (77%), the contraction in Accounts Payable creates a liquidity gap of up to $2.0 Billion that</w:t>
      </w:r>
      <w:r w:rsidRPr="003037C0">
        <w:rPr>
          <w:rFonts w:ascii="Arial" w:hAnsi="Arial" w:cs="Arial"/>
        </w:rPr>
        <w:t xml:space="preserve"> must be funded by Cash </w:t>
      </w:r>
      <w:r w:rsidRPr="003037C0">
        <w:rPr>
          <w:rFonts w:ascii="Arial" w:hAnsi="Arial" w:cs="Arial"/>
        </w:rPr>
        <w:lastRenderedPageBreak/>
        <w:t>on Hand.</w:t>
      </w:r>
      <w:r w:rsidRPr="003037C0">
        <w:rPr>
          <w:rFonts w:ascii="Arial" w:hAnsi="Arial" w:cs="Arial"/>
        </w:rPr>
        <w:br/>
      </w:r>
    </w:p>
    <w:p w14:paraId="32E9C096" w14:textId="77777777" w:rsidR="003037C0" w:rsidRPr="003037C0" w:rsidRDefault="003037C0" w:rsidP="00711132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</w:rPr>
      </w:pPr>
      <w:r w:rsidRPr="003037C0">
        <w:rPr>
          <w:b/>
          <w:bCs/>
        </w:rPr>
        <w:t>Recommendations</w:t>
      </w:r>
      <w:r>
        <w:rPr>
          <w:b/>
          <w:bCs/>
        </w:rPr>
        <w:t>:</w:t>
      </w:r>
    </w:p>
    <w:p w14:paraId="24F95FDB" w14:textId="53E2A38F" w:rsidR="002071D7" w:rsidRPr="002071D7" w:rsidRDefault="002071D7" w:rsidP="00711132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2071D7">
        <w:rPr>
          <w:rFonts w:ascii="Arial" w:hAnsi="Arial" w:cs="Arial"/>
          <w:color w:val="000000"/>
        </w:rPr>
        <w:t>The report recommends an optimized inventory management strategy to buffer against utilization shocks and a dynamic hedging strategy for RIN credits to mitigate the fat-tail</w:t>
      </w:r>
      <w:r w:rsidR="00C50F40">
        <w:rPr>
          <w:rFonts w:ascii="Arial" w:hAnsi="Arial" w:cs="Arial"/>
          <w:color w:val="000000"/>
        </w:rPr>
        <w:t xml:space="preserve"> </w:t>
      </w:r>
      <w:r w:rsidRPr="002071D7">
        <w:rPr>
          <w:rFonts w:ascii="Arial" w:hAnsi="Arial" w:cs="Arial"/>
          <w:color w:val="000000"/>
        </w:rPr>
        <w:t>risks observed in the regulatory compliance cost distributions.</w:t>
      </w:r>
    </w:p>
    <w:p w14:paraId="31322308" w14:textId="762823EE" w:rsidR="00662CF2" w:rsidRPr="00662CF2" w:rsidRDefault="00706B37" w:rsidP="00711132">
      <w:pPr>
        <w:pStyle w:val="Heading1"/>
        <w:spacing w:line="276" w:lineRule="auto"/>
      </w:pPr>
      <w:bookmarkStart w:id="1" w:name="_Toc216524886"/>
      <w:r>
        <w:t>Introduction</w:t>
      </w:r>
      <w:bookmarkEnd w:id="1"/>
    </w:p>
    <w:p w14:paraId="715D952C" w14:textId="77777777" w:rsidR="00706B37" w:rsidRDefault="00706B37" w:rsidP="00711132">
      <w:pPr>
        <w:pStyle w:val="Heading2"/>
        <w:spacing w:line="276" w:lineRule="auto"/>
      </w:pPr>
      <w:r>
        <w:t>Company Overview</w:t>
      </w:r>
      <w:r>
        <w:br/>
      </w:r>
      <w:r w:rsidRPr="00706B37">
        <w:rPr>
          <w:rFonts w:ascii="Arial" w:hAnsi="Arial" w:cs="Arial"/>
          <w:color w:val="000000"/>
          <w:sz w:val="24"/>
          <w:szCs w:val="24"/>
        </w:rPr>
        <w:t>Valero Energy is a premier international manufacturer and marketer of transportation fuels and petrochemical products. As a pure-play refiner, the company's financial health is intrinsically linked to the "Crack Spread"</w:t>
      </w:r>
      <w:r>
        <w:rPr>
          <w:rFonts w:ascii="Arial" w:hAnsi="Arial" w:cs="Arial"/>
          <w:color w:val="000000"/>
          <w:sz w:val="24"/>
          <w:szCs w:val="24"/>
        </w:rPr>
        <w:t xml:space="preserve"> which is </w:t>
      </w:r>
      <w:r w:rsidRPr="00706B37">
        <w:rPr>
          <w:rFonts w:ascii="Arial" w:hAnsi="Arial" w:cs="Arial"/>
          <w:color w:val="000000"/>
          <w:sz w:val="24"/>
          <w:szCs w:val="24"/>
        </w:rPr>
        <w:t>the difference between the price of crude oil and the price of refined products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706B37">
        <w:rPr>
          <w:rFonts w:ascii="Arial" w:hAnsi="Arial" w:cs="Arial"/>
          <w:color w:val="000000"/>
          <w:sz w:val="24"/>
          <w:szCs w:val="24"/>
        </w:rPr>
        <w:t>(diesel, gasoline, jet fuel).</w:t>
      </w:r>
    </w:p>
    <w:p w14:paraId="3E038085" w14:textId="77777777" w:rsidR="00706B37" w:rsidRDefault="00706B37" w:rsidP="00711132">
      <w:pPr>
        <w:pStyle w:val="Heading2"/>
        <w:spacing w:line="276" w:lineRule="auto"/>
      </w:pPr>
      <w:r>
        <w:t>Risk Management Objectives</w:t>
      </w:r>
    </w:p>
    <w:p w14:paraId="52AEAE66" w14:textId="77777777" w:rsidR="00706B37" w:rsidRPr="00706B37" w:rsidRDefault="00706B37" w:rsidP="00711132">
      <w:pPr>
        <w:pStyle w:val="NormalWeb"/>
        <w:spacing w:line="276" w:lineRule="auto"/>
        <w:rPr>
          <w:rFonts w:ascii="Arial" w:hAnsi="Arial" w:cs="Arial"/>
          <w:color w:val="000000"/>
        </w:rPr>
      </w:pPr>
      <w:r w:rsidRPr="00706B37">
        <w:rPr>
          <w:rFonts w:ascii="Arial" w:hAnsi="Arial" w:cs="Arial"/>
          <w:color w:val="000000"/>
        </w:rPr>
        <w:t>The objective of this analysis is not merely to forecast a single financial outcome, but to understand the</w:t>
      </w:r>
      <w:r w:rsidRPr="00706B37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706B37">
        <w:rPr>
          <w:rFonts w:ascii="Arial" w:hAnsi="Arial" w:cs="Arial"/>
          <w:color w:val="000000"/>
        </w:rPr>
        <w:t>distribution</w:t>
      </w:r>
      <w:r w:rsidRPr="00706B37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706B37">
        <w:rPr>
          <w:rFonts w:ascii="Arial" w:hAnsi="Arial" w:cs="Arial"/>
          <w:color w:val="000000"/>
        </w:rPr>
        <w:t>of possible outcomes. Traditional deterministic models fail to capture the confluence of rare events. By employing a stochastic approach, we aim to:</w:t>
      </w:r>
    </w:p>
    <w:p w14:paraId="12656183" w14:textId="77777777" w:rsidR="00706B37" w:rsidRPr="00706B37" w:rsidRDefault="00706B37" w:rsidP="00711132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color w:val="000000"/>
        </w:rPr>
      </w:pPr>
      <w:r w:rsidRPr="00706B37">
        <w:rPr>
          <w:rFonts w:ascii="Arial" w:hAnsi="Arial" w:cs="Arial"/>
          <w:color w:val="000000"/>
        </w:rPr>
        <w:t>Identify the specific drivers (Key Risk Indicators) that exert the most variance on the Income Statement and Balance Sheet.</w:t>
      </w:r>
    </w:p>
    <w:p w14:paraId="565AABFD" w14:textId="744F95FC" w:rsidR="00706B37" w:rsidRPr="00706B37" w:rsidRDefault="00706B37" w:rsidP="00711132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color w:val="000000"/>
        </w:rPr>
      </w:pPr>
      <w:r w:rsidRPr="00706B37">
        <w:rPr>
          <w:rFonts w:ascii="Arial" w:hAnsi="Arial" w:cs="Arial"/>
          <w:color w:val="000000"/>
        </w:rPr>
        <w:t>Quantify the Value at Risk (</w:t>
      </w:r>
      <w:proofErr w:type="spellStart"/>
      <w:r w:rsidRPr="00706B37">
        <w:rPr>
          <w:rFonts w:ascii="Arial" w:hAnsi="Arial" w:cs="Arial"/>
          <w:color w:val="000000"/>
        </w:rPr>
        <w:t>VaR</w:t>
      </w:r>
      <w:proofErr w:type="spellEnd"/>
      <w:r w:rsidRPr="00706B37">
        <w:rPr>
          <w:rFonts w:ascii="Arial" w:hAnsi="Arial" w:cs="Arial"/>
          <w:color w:val="000000"/>
        </w:rPr>
        <w:t>) regarding Operating Income and Cash Flow.</w:t>
      </w:r>
    </w:p>
    <w:p w14:paraId="75EA0E4B" w14:textId="77777777" w:rsidR="00706B37" w:rsidRDefault="00706B37" w:rsidP="00711132">
      <w:pPr>
        <w:pStyle w:val="NormalWeb"/>
        <w:numPr>
          <w:ilvl w:val="0"/>
          <w:numId w:val="7"/>
        </w:numPr>
        <w:spacing w:line="276" w:lineRule="auto"/>
        <w:rPr>
          <w:rFonts w:ascii="Arial" w:hAnsi="Arial" w:cs="Arial"/>
          <w:color w:val="000000"/>
        </w:rPr>
      </w:pPr>
      <w:r w:rsidRPr="00706B37">
        <w:rPr>
          <w:rFonts w:ascii="Arial" w:hAnsi="Arial" w:cs="Arial"/>
          <w:color w:val="000000"/>
        </w:rPr>
        <w:t>Assess the resilience of Valero’s Balance Sheet, specifically Cash, Inventory, and PPE, against compound risk scenarios.</w:t>
      </w:r>
    </w:p>
    <w:p w14:paraId="7C081E14" w14:textId="24432540" w:rsidR="00E648AB" w:rsidRDefault="00E648AB" w:rsidP="00E648AB">
      <w:pPr>
        <w:pStyle w:val="Heading2"/>
      </w:pPr>
      <w:r w:rsidRPr="00E648AB">
        <w:t>Data Scope</w:t>
      </w:r>
    </w:p>
    <w:p w14:paraId="43B70C39" w14:textId="0CEA339A" w:rsidR="00E648AB" w:rsidRPr="00E648AB" w:rsidRDefault="00E648AB" w:rsidP="00E648AB">
      <w:pPr>
        <w:rPr>
          <w:rFonts w:ascii="Arial" w:hAnsi="Arial" w:cs="Arial"/>
        </w:rPr>
      </w:pPr>
      <w:r w:rsidRPr="00E648AB">
        <w:rPr>
          <w:rFonts w:ascii="Arial" w:hAnsi="Arial" w:cs="Arial"/>
          <w:color w:val="000000"/>
        </w:rPr>
        <w:t>The financial baseline for this analysis, including the 2020-2024 historical Balance Sheet and Income Statement figures for Quarter and yearly, was aggregated directly from</w:t>
      </w:r>
      <w:r w:rsidRPr="00E648AB">
        <w:rPr>
          <w:rStyle w:val="apple-converted-space"/>
          <w:rFonts w:ascii="Arial" w:hAnsi="Arial" w:cs="Arial"/>
          <w:color w:val="000000"/>
        </w:rPr>
        <w:t> </w:t>
      </w:r>
      <w:r w:rsidRPr="00E648AB">
        <w:rPr>
          <w:rFonts w:ascii="Arial" w:hAnsi="Arial" w:cs="Arial"/>
          <w:color w:val="000000"/>
        </w:rPr>
        <w:t>S&amp;P Capital IQ.</w:t>
      </w:r>
    </w:p>
    <w:p w14:paraId="0C5A5655" w14:textId="720549CE" w:rsidR="00662CF2" w:rsidRPr="00662CF2" w:rsidRDefault="00706B37" w:rsidP="00711132">
      <w:pPr>
        <w:pStyle w:val="Heading1"/>
        <w:spacing w:line="276" w:lineRule="auto"/>
      </w:pPr>
      <w:bookmarkStart w:id="2" w:name="_Toc216524887"/>
      <w:r>
        <w:lastRenderedPageBreak/>
        <w:t>Methodology</w:t>
      </w:r>
      <w:bookmarkEnd w:id="2"/>
    </w:p>
    <w:p w14:paraId="7AE0AA69" w14:textId="77777777" w:rsidR="00706B37" w:rsidRPr="00706B37" w:rsidRDefault="00706B37" w:rsidP="00711132">
      <w:pPr>
        <w:pStyle w:val="Heading2"/>
        <w:spacing w:line="276" w:lineRule="auto"/>
        <w:rPr>
          <w:rFonts w:ascii="Arial" w:hAnsi="Arial" w:cs="Arial"/>
          <w:color w:val="000000"/>
        </w:rPr>
      </w:pPr>
      <w:r>
        <w:t>Monte Carlo Simulation</w:t>
      </w:r>
      <w:r>
        <w:br/>
      </w:r>
      <w:r w:rsidRPr="00706B37">
        <w:rPr>
          <w:rFonts w:ascii="Arial" w:hAnsi="Arial" w:cs="Arial"/>
          <w:color w:val="000000"/>
          <w:sz w:val="24"/>
          <w:szCs w:val="24"/>
        </w:rPr>
        <w:t>We utilized a Monte Carlo simulation engine to generate</w:t>
      </w:r>
      <w:r w:rsidRPr="00706B37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706B37">
        <w:rPr>
          <w:rFonts w:ascii="Arial" w:hAnsi="Arial" w:cs="Arial"/>
          <w:color w:val="000000"/>
          <w:sz w:val="24"/>
          <w:szCs w:val="24"/>
        </w:rPr>
        <w:t>5,000 iterations</w:t>
      </w:r>
      <w:r w:rsidRPr="00706B37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706B37">
        <w:rPr>
          <w:rFonts w:ascii="Arial" w:hAnsi="Arial" w:cs="Arial"/>
          <w:color w:val="000000"/>
          <w:sz w:val="24"/>
          <w:szCs w:val="24"/>
        </w:rPr>
        <w:t>of Valero’s financial year 2024. This method allows us to model input variables not as static numbers, but as probability distributions (normal, lognormal, Discrete distributions based on historical volatility).</w:t>
      </w:r>
    </w:p>
    <w:p w14:paraId="1101D82A" w14:textId="77777777" w:rsidR="00706B37" w:rsidRPr="00706B37" w:rsidRDefault="00706B37" w:rsidP="00711132">
      <w:pPr>
        <w:pStyle w:val="Heading2"/>
        <w:spacing w:line="276" w:lineRule="auto"/>
        <w:rPr>
          <w:rFonts w:ascii="Arial" w:hAnsi="Arial" w:cs="Arial"/>
          <w:color w:val="000000"/>
        </w:rPr>
      </w:pPr>
      <w:r>
        <w:t>Model Architecture</w:t>
      </w:r>
    </w:p>
    <w:p w14:paraId="2B1D7649" w14:textId="77777777" w:rsidR="00706B37" w:rsidRPr="00706B37" w:rsidRDefault="00706B37" w:rsidP="00711132">
      <w:pPr>
        <w:pStyle w:val="Heading2"/>
        <w:numPr>
          <w:ilvl w:val="0"/>
          <w:numId w:val="0"/>
        </w:numPr>
        <w:spacing w:line="276" w:lineRule="auto"/>
        <w:ind w:left="576"/>
        <w:rPr>
          <w:rFonts w:ascii="Arial" w:hAnsi="Arial" w:cs="Arial"/>
          <w:color w:val="000000"/>
          <w:sz w:val="24"/>
          <w:szCs w:val="24"/>
        </w:rPr>
      </w:pPr>
      <w:r w:rsidRPr="00706B37">
        <w:rPr>
          <w:rFonts w:ascii="Arial" w:hAnsi="Arial" w:cs="Arial"/>
          <w:color w:val="000000"/>
          <w:sz w:val="24"/>
          <w:szCs w:val="24"/>
        </w:rPr>
        <w:t>The model integrates three distinct risk modules that feed into a consolidated financial statement:</w:t>
      </w:r>
    </w:p>
    <w:p w14:paraId="1F9BE342" w14:textId="77777777" w:rsidR="00706B37" w:rsidRPr="00706B37" w:rsidRDefault="00706B37" w:rsidP="00711132">
      <w:pPr>
        <w:pStyle w:val="Heading2"/>
        <w:numPr>
          <w:ilvl w:val="0"/>
          <w:numId w:val="7"/>
        </w:numPr>
        <w:spacing w:line="276" w:lineRule="auto"/>
        <w:rPr>
          <w:rFonts w:ascii="Arial" w:hAnsi="Arial" w:cs="Arial"/>
          <w:color w:val="000000"/>
          <w:sz w:val="24"/>
          <w:szCs w:val="24"/>
        </w:rPr>
      </w:pPr>
      <w:r w:rsidRPr="00706B37">
        <w:rPr>
          <w:rFonts w:ascii="Arial" w:hAnsi="Arial" w:cs="Arial"/>
          <w:b/>
          <w:bCs/>
          <w:color w:val="000000"/>
          <w:sz w:val="24"/>
          <w:szCs w:val="24"/>
        </w:rPr>
        <w:t>Market Module:</w:t>
      </w:r>
      <w:r w:rsidRPr="00706B37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706B37">
        <w:rPr>
          <w:rFonts w:ascii="Arial" w:hAnsi="Arial" w:cs="Arial"/>
          <w:color w:val="000000"/>
          <w:sz w:val="24"/>
          <w:szCs w:val="24"/>
        </w:rPr>
        <w:t>Simulates price stochasticity for ULS (Ultra Low Sulfur) Diesel spreads, CBOB (Gasoline) spreads, and feedstock costs (Corn, UCO).</w:t>
      </w:r>
    </w:p>
    <w:p w14:paraId="2F820EB1" w14:textId="77777777" w:rsidR="00706B37" w:rsidRPr="00706B37" w:rsidRDefault="00706B37" w:rsidP="00711132">
      <w:pPr>
        <w:pStyle w:val="Heading2"/>
        <w:numPr>
          <w:ilvl w:val="0"/>
          <w:numId w:val="7"/>
        </w:numPr>
        <w:spacing w:line="276" w:lineRule="auto"/>
        <w:rPr>
          <w:rFonts w:ascii="Arial" w:hAnsi="Arial" w:cs="Arial"/>
          <w:color w:val="000000"/>
          <w:sz w:val="24"/>
          <w:szCs w:val="24"/>
        </w:rPr>
      </w:pPr>
      <w:r w:rsidRPr="00706B37">
        <w:rPr>
          <w:rFonts w:ascii="Arial" w:hAnsi="Arial" w:cs="Arial"/>
          <w:b/>
          <w:bCs/>
          <w:color w:val="000000"/>
          <w:sz w:val="24"/>
          <w:szCs w:val="24"/>
        </w:rPr>
        <w:t>Operational Module:</w:t>
      </w:r>
      <w:r w:rsidRPr="00706B37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706B37">
        <w:rPr>
          <w:rFonts w:ascii="Arial" w:hAnsi="Arial" w:cs="Arial"/>
          <w:color w:val="000000"/>
          <w:sz w:val="24"/>
          <w:szCs w:val="24"/>
        </w:rPr>
        <w:t>Simulates Refinery Utilization rates based on historical efficiency and unplanned outage probabilities.</w:t>
      </w:r>
    </w:p>
    <w:p w14:paraId="2CD72BCA" w14:textId="5F663B71" w:rsidR="00662CF2" w:rsidRDefault="00706B37" w:rsidP="00711132">
      <w:pPr>
        <w:pStyle w:val="Heading2"/>
        <w:numPr>
          <w:ilvl w:val="0"/>
          <w:numId w:val="7"/>
        </w:numPr>
        <w:spacing w:line="276" w:lineRule="auto"/>
        <w:rPr>
          <w:rFonts w:ascii="Arial" w:hAnsi="Arial" w:cs="Arial"/>
          <w:color w:val="000000"/>
          <w:sz w:val="24"/>
          <w:szCs w:val="24"/>
        </w:rPr>
      </w:pPr>
      <w:r w:rsidRPr="00706B37">
        <w:rPr>
          <w:rFonts w:ascii="Arial" w:hAnsi="Arial" w:cs="Arial"/>
          <w:b/>
          <w:bCs/>
          <w:color w:val="000000"/>
          <w:sz w:val="24"/>
          <w:szCs w:val="24"/>
        </w:rPr>
        <w:t>Regulatory Module:</w:t>
      </w:r>
      <w:r w:rsidRPr="00706B37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706B37">
        <w:rPr>
          <w:rFonts w:ascii="Arial" w:hAnsi="Arial" w:cs="Arial"/>
          <w:color w:val="000000"/>
          <w:sz w:val="24"/>
          <w:szCs w:val="24"/>
        </w:rPr>
        <w:t>Simulates volatility in RIN prices, LCFS (Low Carbon Fuel Standard) credits, and Carbon allowances.</w:t>
      </w:r>
    </w:p>
    <w:p w14:paraId="6FE4D8ED" w14:textId="77777777" w:rsidR="00662CF2" w:rsidRDefault="00662CF2" w:rsidP="00711132">
      <w:pPr>
        <w:spacing w:line="276" w:lineRule="auto"/>
      </w:pPr>
    </w:p>
    <w:p w14:paraId="248192A4" w14:textId="6F188B01" w:rsidR="00662CF2" w:rsidRDefault="00662CF2" w:rsidP="00711132">
      <w:pPr>
        <w:pStyle w:val="Heading1"/>
        <w:spacing w:line="276" w:lineRule="auto"/>
      </w:pPr>
      <w:bookmarkStart w:id="3" w:name="_Toc216524888"/>
      <w:r>
        <w:t>Market Risk Analysis</w:t>
      </w:r>
      <w:bookmarkEnd w:id="3"/>
    </w:p>
    <w:p w14:paraId="52B4D30D" w14:textId="158AC6B5" w:rsidR="00662CF2" w:rsidRDefault="00662CF2" w:rsidP="00711132">
      <w:pPr>
        <w:pStyle w:val="Heading2"/>
        <w:spacing w:line="276" w:lineRule="auto"/>
      </w:pPr>
      <w:r w:rsidRPr="00662CF2">
        <w:t>Refining Margins (The Crack Spread)</w:t>
      </w:r>
    </w:p>
    <w:p w14:paraId="4002DEE0" w14:textId="20E55F34" w:rsidR="00662CF2" w:rsidRDefault="00662CF2" w:rsidP="00711132">
      <w:pPr>
        <w:spacing w:line="276" w:lineRule="auto"/>
        <w:rPr>
          <w:rFonts w:ascii="Arial" w:hAnsi="Arial" w:cs="Arial"/>
          <w:color w:val="000000"/>
        </w:rPr>
      </w:pPr>
      <w:r w:rsidRPr="00662CF2">
        <w:rPr>
          <w:rFonts w:ascii="Arial" w:hAnsi="Arial" w:cs="Arial"/>
          <w:color w:val="000000"/>
        </w:rPr>
        <w:t>The most significant driver of revenue volatility identified in the simulation is the refining margin.</w:t>
      </w:r>
    </w:p>
    <w:p w14:paraId="34F4AD9E" w14:textId="78694945" w:rsidR="00662CF2" w:rsidRPr="00662CF2" w:rsidRDefault="00662CF2" w:rsidP="00711132">
      <w:pPr>
        <w:pStyle w:val="ListParagraph"/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662CF2">
        <w:rPr>
          <w:rFonts w:ascii="Arial" w:hAnsi="Arial" w:cs="Arial"/>
          <w:b/>
          <w:bCs/>
          <w:color w:val="000000"/>
        </w:rPr>
        <w:t>Stochastic Drivers:</w:t>
      </w:r>
      <w:r w:rsidRPr="00662CF2">
        <w:rPr>
          <w:rStyle w:val="apple-converted-space"/>
          <w:rFonts w:ascii="Arial" w:hAnsi="Arial" w:cs="Arial"/>
          <w:color w:val="000000"/>
        </w:rPr>
        <w:t> </w:t>
      </w:r>
      <w:r w:rsidRPr="00662CF2">
        <w:rPr>
          <w:rFonts w:ascii="Arial" w:hAnsi="Arial" w:cs="Arial"/>
          <w:color w:val="000000"/>
        </w:rPr>
        <w:t>We modeled the spread between WTI Crude and refined products (ULS Diesel and CBOB).</w:t>
      </w:r>
    </w:p>
    <w:p w14:paraId="35E9792D" w14:textId="7BC44A35" w:rsidR="00662CF2" w:rsidRPr="00662CF2" w:rsidRDefault="00662CF2" w:rsidP="00711132">
      <w:pPr>
        <w:pStyle w:val="ListParagraph"/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662CF2">
        <w:rPr>
          <w:rFonts w:ascii="Arial" w:hAnsi="Arial" w:cs="Arial"/>
          <w:b/>
          <w:bCs/>
          <w:color w:val="000000"/>
        </w:rPr>
        <w:t>Volatility Observations:</w:t>
      </w:r>
      <w:r w:rsidRPr="00662CF2">
        <w:rPr>
          <w:rStyle w:val="apple-converted-space"/>
          <w:rFonts w:ascii="Arial" w:hAnsi="Arial" w:cs="Arial"/>
          <w:color w:val="000000"/>
        </w:rPr>
        <w:t> </w:t>
      </w:r>
      <w:r w:rsidRPr="00662CF2">
        <w:rPr>
          <w:rFonts w:ascii="Arial" w:hAnsi="Arial" w:cs="Arial"/>
          <w:color w:val="000000"/>
        </w:rPr>
        <w:t>The simulation shows that ULS spreads exhibit higher standard deviation than CBOB, indicating that Valero's diesel production is a larger source of profit uncertainty than gasoline.</w:t>
      </w:r>
    </w:p>
    <w:p w14:paraId="69D80810" w14:textId="3E791BBF" w:rsidR="00662CF2" w:rsidRDefault="00662CF2" w:rsidP="00711132">
      <w:pPr>
        <w:pStyle w:val="Heading2"/>
        <w:spacing w:line="276" w:lineRule="auto"/>
      </w:pPr>
      <w:r w:rsidRPr="00662CF2">
        <w:t>Feedstock Volatility</w:t>
      </w:r>
    </w:p>
    <w:p w14:paraId="274A4AE1" w14:textId="78AC1CB7" w:rsidR="00662CF2" w:rsidRDefault="00662CF2" w:rsidP="00711132">
      <w:pPr>
        <w:spacing w:line="276" w:lineRule="auto"/>
        <w:rPr>
          <w:rFonts w:ascii="Arial" w:hAnsi="Arial" w:cs="Arial"/>
          <w:color w:val="000000"/>
        </w:rPr>
      </w:pPr>
      <w:r w:rsidRPr="00662CF2">
        <w:rPr>
          <w:rFonts w:ascii="Arial" w:hAnsi="Arial" w:cs="Arial"/>
          <w:color w:val="000000"/>
        </w:rPr>
        <w:t>Beyond crude oil, the inputs for renewable diesel and ethanol (Corn and Used Cooking Oil - UCO) were modeled.</w:t>
      </w:r>
    </w:p>
    <w:p w14:paraId="202AE49A" w14:textId="03954C71" w:rsidR="00662CF2" w:rsidRPr="00F1663D" w:rsidRDefault="00662CF2" w:rsidP="00711132">
      <w:pPr>
        <w:pStyle w:val="ListParagraph"/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F1663D">
        <w:rPr>
          <w:rFonts w:ascii="Arial" w:hAnsi="Arial" w:cs="Arial"/>
          <w:b/>
          <w:bCs/>
          <w:color w:val="000000"/>
        </w:rPr>
        <w:lastRenderedPageBreak/>
        <w:t>Corn &amp; UCO:</w:t>
      </w:r>
      <w:r w:rsidRPr="00F1663D">
        <w:rPr>
          <w:rStyle w:val="apple-converted-space"/>
          <w:rFonts w:ascii="Arial" w:hAnsi="Arial" w:cs="Arial"/>
          <w:color w:val="000000"/>
        </w:rPr>
        <w:t> </w:t>
      </w:r>
      <w:r w:rsidRPr="00F1663D">
        <w:rPr>
          <w:rFonts w:ascii="Arial" w:hAnsi="Arial" w:cs="Arial"/>
          <w:color w:val="000000"/>
        </w:rPr>
        <w:t>These commodities showed lower correlation with crude oil markets, providing a partial natural hedge. However, in Food vs. Fuel</w:t>
      </w:r>
      <w:r w:rsidR="00C50F40">
        <w:rPr>
          <w:rFonts w:ascii="Arial" w:hAnsi="Arial" w:cs="Arial"/>
          <w:color w:val="000000"/>
        </w:rPr>
        <w:t xml:space="preserve"> </w:t>
      </w:r>
      <w:r w:rsidRPr="00F1663D">
        <w:rPr>
          <w:rFonts w:ascii="Arial" w:hAnsi="Arial" w:cs="Arial"/>
          <w:color w:val="000000"/>
        </w:rPr>
        <w:t>inflation scenarios, these costs rise independently of crude, squeezing margins in the renewables segment.</w:t>
      </w:r>
    </w:p>
    <w:p w14:paraId="6C02106E" w14:textId="6DB35CB8" w:rsidR="00662CF2" w:rsidRDefault="00F1663D" w:rsidP="00711132">
      <w:pPr>
        <w:pStyle w:val="Heading1"/>
        <w:spacing w:line="276" w:lineRule="auto"/>
      </w:pPr>
      <w:bookmarkStart w:id="4" w:name="_Toc216524889"/>
      <w:r>
        <w:t>Operational Risk Analysis</w:t>
      </w:r>
      <w:bookmarkEnd w:id="4"/>
    </w:p>
    <w:p w14:paraId="2F9F5E0F" w14:textId="7C5FE2F3" w:rsidR="00F1663D" w:rsidRDefault="00F1663D" w:rsidP="00711132">
      <w:pPr>
        <w:pStyle w:val="Heading2"/>
        <w:spacing w:line="276" w:lineRule="auto"/>
      </w:pPr>
      <w:r>
        <w:t>Utilization as a Key Driver</w:t>
      </w:r>
    </w:p>
    <w:p w14:paraId="5DEBF725" w14:textId="184E3254" w:rsidR="00F1663D" w:rsidRDefault="00F1663D" w:rsidP="00711132">
      <w:pPr>
        <w:spacing w:line="276" w:lineRule="auto"/>
        <w:rPr>
          <w:rFonts w:ascii="Arial" w:hAnsi="Arial" w:cs="Arial"/>
          <w:color w:val="000000"/>
        </w:rPr>
      </w:pPr>
      <w:r w:rsidRPr="00F1663D">
        <w:rPr>
          <w:rFonts w:ascii="Arial" w:hAnsi="Arial" w:cs="Arial"/>
          <w:color w:val="000000"/>
        </w:rPr>
        <w:t>Unlike standard models that treat Net Working Capital as a percentage of sales, our analysis isolates</w:t>
      </w:r>
      <w:r w:rsidRPr="00F1663D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Refinery Utilization</w:t>
      </w:r>
      <w:r w:rsidRPr="00F1663D">
        <w:rPr>
          <w:rStyle w:val="apple-converted-space"/>
          <w:rFonts w:ascii="Arial" w:hAnsi="Arial" w:cs="Arial"/>
          <w:color w:val="000000"/>
        </w:rPr>
        <w:t> </w:t>
      </w:r>
      <w:r w:rsidRPr="00F1663D">
        <w:rPr>
          <w:rFonts w:ascii="Arial" w:hAnsi="Arial" w:cs="Arial"/>
          <w:color w:val="000000"/>
        </w:rPr>
        <w:t>as an independent stochastic variable.</w:t>
      </w:r>
    </w:p>
    <w:p w14:paraId="3F685E2C" w14:textId="3BACB168" w:rsidR="00F1663D" w:rsidRDefault="00F1663D" w:rsidP="00711132">
      <w:pPr>
        <w:pStyle w:val="Heading3"/>
        <w:spacing w:line="276" w:lineRule="auto"/>
        <w:rPr>
          <w:color w:val="000000"/>
        </w:rPr>
      </w:pPr>
      <w:r>
        <w:rPr>
          <w:color w:val="000000"/>
        </w:rPr>
        <w:t>Historical Analysis &amp; Regression</w:t>
      </w:r>
      <w:r w:rsidR="00CE13FB">
        <w:rPr>
          <w:color w:val="000000"/>
        </w:rPr>
        <w:t>:</w:t>
      </w:r>
    </w:p>
    <w:p w14:paraId="21F184B8" w14:textId="38B2AA89" w:rsidR="00F1663D" w:rsidRDefault="00F1663D" w:rsidP="00711132">
      <w:pPr>
        <w:pStyle w:val="NormalWeb"/>
        <w:spacing w:line="276" w:lineRule="auto"/>
        <w:rPr>
          <w:rFonts w:ascii="Arial" w:hAnsi="Arial" w:cs="Arial"/>
          <w:color w:val="000000"/>
        </w:rPr>
      </w:pPr>
      <w:r w:rsidRPr="00F1663D">
        <w:rPr>
          <w:rFonts w:ascii="Arial" w:hAnsi="Arial" w:cs="Arial"/>
          <w:color w:val="000000"/>
        </w:rPr>
        <w:t>Using historical data (2020 Q1 – 2025 Q2), we established a regression relationship between Utilization (%) and key balance sheet items. The mean utilization in our base case is approximately</w:t>
      </w:r>
      <w:r w:rsidRPr="00F1663D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F1663D">
        <w:rPr>
          <w:rFonts w:ascii="Arial" w:hAnsi="Arial" w:cs="Arial"/>
          <w:color w:val="000000"/>
        </w:rPr>
        <w:t>89.8%, with a standard deviation of</w:t>
      </w:r>
      <w:r w:rsidRPr="00F1663D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F1663D">
        <w:rPr>
          <w:rFonts w:ascii="Arial" w:hAnsi="Arial" w:cs="Arial"/>
          <w:color w:val="000000"/>
        </w:rPr>
        <w:t>6.3%.</w:t>
      </w:r>
    </w:p>
    <w:p w14:paraId="1AB2C8B5" w14:textId="36354D0C" w:rsidR="00F1663D" w:rsidRPr="00F1663D" w:rsidRDefault="00F1663D" w:rsidP="00711132">
      <w:pPr>
        <w:pStyle w:val="NormalWeb"/>
        <w:spacing w:line="276" w:lineRule="auto"/>
        <w:rPr>
          <w:rFonts w:ascii="Arial" w:hAnsi="Arial" w:cs="Arial"/>
          <w:color w:val="000000"/>
        </w:rPr>
      </w:pPr>
      <w:r w:rsidRPr="00F1663D">
        <w:rPr>
          <w:rFonts w:ascii="Arial" w:hAnsi="Arial" w:cs="Arial"/>
          <w:color w:val="000000"/>
        </w:rPr>
        <w:t>Regression Statistics:</w:t>
      </w:r>
    </w:p>
    <w:p w14:paraId="63DF2806" w14:textId="36F04BE0" w:rsidR="00F1663D" w:rsidRPr="00F1663D" w:rsidRDefault="00F1663D" w:rsidP="00711132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</w:rPr>
      </w:pPr>
      <w:r w:rsidRPr="00F1663D">
        <w:rPr>
          <w:rFonts w:ascii="Arial" w:hAnsi="Arial" w:cs="Arial"/>
          <w:b/>
          <w:bCs/>
          <w:color w:val="000000"/>
        </w:rPr>
        <w:t>Independent Variable:</w:t>
      </w:r>
      <w:r w:rsidRPr="00F1663D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F1663D">
        <w:rPr>
          <w:rFonts w:ascii="Arial" w:hAnsi="Arial" w:cs="Arial"/>
          <w:color w:val="000000"/>
        </w:rPr>
        <w:t>Utilization %</w:t>
      </w:r>
    </w:p>
    <w:p w14:paraId="6848E686" w14:textId="53653F2C" w:rsidR="00F1663D" w:rsidRPr="00F1663D" w:rsidRDefault="00F1663D" w:rsidP="00711132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</w:rPr>
      </w:pPr>
      <w:r w:rsidRPr="00F1663D">
        <w:rPr>
          <w:rFonts w:ascii="Arial" w:hAnsi="Arial" w:cs="Arial"/>
          <w:b/>
          <w:bCs/>
          <w:color w:val="000000"/>
        </w:rPr>
        <w:t>Dependent Variables:</w:t>
      </w:r>
      <w:r w:rsidRPr="00F1663D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F1663D">
        <w:rPr>
          <w:rFonts w:ascii="Arial" w:hAnsi="Arial" w:cs="Arial"/>
          <w:color w:val="000000"/>
        </w:rPr>
        <w:t>Inventory, Accounts Payable (A/P), Cost of Goods Sold (COGS).</w:t>
      </w:r>
    </w:p>
    <w:p w14:paraId="642C454D" w14:textId="523F250E" w:rsidR="00F1663D" w:rsidRDefault="00F1663D" w:rsidP="00711132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</w:rPr>
      </w:pPr>
      <w:r w:rsidRPr="00F1663D">
        <w:rPr>
          <w:rFonts w:ascii="Arial" w:hAnsi="Arial" w:cs="Arial"/>
          <w:b/>
          <w:bCs/>
          <w:color w:val="000000"/>
        </w:rPr>
        <w:t>Correlation:</w:t>
      </w:r>
      <w:r w:rsidRPr="00F1663D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F1663D">
        <w:rPr>
          <w:rFonts w:ascii="Arial" w:hAnsi="Arial" w:cs="Arial"/>
          <w:color w:val="000000"/>
        </w:rPr>
        <w:t>We observed a strong positive correlation. As utilization rises, raw material requirements increase (driving up A/P and Inventory</w:t>
      </w:r>
      <w:r w:rsidR="00C50F40" w:rsidRPr="00F1663D">
        <w:rPr>
          <w:rFonts w:ascii="Arial" w:hAnsi="Arial" w:cs="Arial"/>
          <w:color w:val="000000"/>
        </w:rPr>
        <w:t>),</w:t>
      </w:r>
      <w:r w:rsidRPr="00F1663D">
        <w:rPr>
          <w:rFonts w:ascii="Arial" w:hAnsi="Arial" w:cs="Arial"/>
          <w:color w:val="000000"/>
        </w:rPr>
        <w:t xml:space="preserve"> and throughput costs rise (increasing COGS).</w:t>
      </w:r>
    </w:p>
    <w:p w14:paraId="05ABCED1" w14:textId="241D335E" w:rsidR="00F1663D" w:rsidRDefault="00F1663D" w:rsidP="00711132">
      <w:pPr>
        <w:pStyle w:val="Heading2"/>
        <w:spacing w:line="276" w:lineRule="auto"/>
      </w:pPr>
      <w:r>
        <w:t>Impact on Financial Lines</w:t>
      </w:r>
    </w:p>
    <w:p w14:paraId="4617E09A" w14:textId="77777777" w:rsidR="00F1663D" w:rsidRDefault="00F1663D" w:rsidP="00711132">
      <w:pPr>
        <w:spacing w:line="276" w:lineRule="auto"/>
        <w:rPr>
          <w:rFonts w:ascii="Arial" w:hAnsi="Arial" w:cs="Arial"/>
          <w:color w:val="000000"/>
        </w:rPr>
      </w:pPr>
      <w:r w:rsidRPr="00F1663D">
        <w:rPr>
          <w:rFonts w:ascii="Arial" w:hAnsi="Arial" w:cs="Arial"/>
          <w:color w:val="000000"/>
        </w:rPr>
        <w:t>The simulation explicitly links Utilization to the following, ensuring accounting integrity:</w:t>
      </w:r>
    </w:p>
    <w:p w14:paraId="68886AE9" w14:textId="53F055C9" w:rsidR="00F1663D" w:rsidRDefault="00F1663D" w:rsidP="00711132">
      <w:pPr>
        <w:pStyle w:val="ListParagraph"/>
        <w:numPr>
          <w:ilvl w:val="0"/>
          <w:numId w:val="19"/>
        </w:numPr>
        <w:spacing w:line="276" w:lineRule="auto"/>
        <w:rPr>
          <w:rFonts w:ascii="-webkit-standard" w:hAnsi="-webkit-standard"/>
          <w:color w:val="000000"/>
          <w:sz w:val="27"/>
          <w:szCs w:val="27"/>
        </w:rPr>
      </w:pPr>
      <w:r w:rsidRPr="00F1663D">
        <w:rPr>
          <w:rFonts w:ascii="-webkit-standard" w:hAnsi="-webkit-standard"/>
          <w:color w:val="000000"/>
          <w:sz w:val="27"/>
          <w:szCs w:val="27"/>
        </w:rPr>
        <w:t>Cost of Goods Sold (COGS):</w:t>
      </w:r>
    </w:p>
    <w:p w14:paraId="65F940DD" w14:textId="100BF313" w:rsidR="00F1663D" w:rsidRPr="00F1663D" w:rsidRDefault="00F1663D" w:rsidP="00711132">
      <w:pPr>
        <w:pStyle w:val="ListParagraph"/>
        <w:numPr>
          <w:ilvl w:val="1"/>
          <w:numId w:val="19"/>
        </w:numPr>
        <w:spacing w:line="276" w:lineRule="auto"/>
        <w:rPr>
          <w:rStyle w:val="apple-converted-space"/>
          <w:rFonts w:ascii="-webkit-standard" w:hAnsi="-webkit-standard"/>
          <w:color w:val="000000"/>
          <w:sz w:val="27"/>
          <w:szCs w:val="27"/>
        </w:rPr>
      </w:pPr>
      <w:r>
        <w:rPr>
          <w:i/>
          <w:iCs/>
          <w:color w:val="000000"/>
        </w:rPr>
        <w:t>Equation: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m:oMath>
        <m:r>
          <w:rPr>
            <w:rStyle w:val="apple-converted-space"/>
            <w:rFonts w:ascii="Cambria Math" w:hAnsi="Cambria Math"/>
            <w:color w:val="000000"/>
            <w:sz w:val="27"/>
            <w:szCs w:val="27"/>
          </w:rPr>
          <m:t>COGS= α+ β</m:t>
        </m:r>
        <m:d>
          <m:dPr>
            <m:ctrlPr>
              <w:rPr>
                <w:rStyle w:val="apple-converted-space"/>
                <w:rFonts w:ascii="Cambria Math" w:hAnsi="Cambria Math"/>
                <w:i/>
                <w:color w:val="000000"/>
                <w:sz w:val="27"/>
                <w:szCs w:val="27"/>
              </w:rPr>
            </m:ctrlPr>
          </m:dPr>
          <m:e>
            <m:r>
              <w:rPr>
                <w:rStyle w:val="apple-converted-space"/>
                <w:rFonts w:ascii="Cambria Math" w:hAnsi="Cambria Math"/>
                <w:color w:val="000000"/>
                <w:sz w:val="27"/>
                <w:szCs w:val="27"/>
              </w:rPr>
              <m:t>Utilization</m:t>
            </m:r>
          </m:e>
        </m:d>
        <m:r>
          <w:rPr>
            <w:rStyle w:val="apple-converted-space"/>
            <w:rFonts w:ascii="Cambria Math" w:hAnsi="Cambria Math"/>
            <w:color w:val="000000"/>
            <w:sz w:val="27"/>
            <w:szCs w:val="27"/>
          </w:rPr>
          <m:t>+ϵ</m:t>
        </m:r>
      </m:oMath>
    </w:p>
    <w:p w14:paraId="12C0E284" w14:textId="267BBB34" w:rsidR="00F1663D" w:rsidRDefault="00F1663D" w:rsidP="00711132">
      <w:pPr>
        <w:pStyle w:val="ListParagraph"/>
        <w:numPr>
          <w:ilvl w:val="1"/>
          <w:numId w:val="19"/>
        </w:numPr>
        <w:spacing w:line="276" w:lineRule="auto"/>
        <w:rPr>
          <w:rFonts w:ascii="Arial" w:hAnsi="Arial" w:cs="Arial"/>
          <w:color w:val="000000"/>
        </w:rPr>
      </w:pPr>
      <w:r w:rsidRPr="00F1663D">
        <w:rPr>
          <w:rFonts w:ascii="Arial" w:hAnsi="Arial" w:cs="Arial"/>
          <w:i/>
          <w:iCs/>
          <w:color w:val="000000"/>
        </w:rPr>
        <w:t>Finding:</w:t>
      </w:r>
      <w:r w:rsidRPr="00F1663D">
        <w:rPr>
          <w:rStyle w:val="apple-converted-space"/>
          <w:rFonts w:ascii="Arial" w:hAnsi="Arial" w:cs="Arial"/>
          <w:color w:val="000000"/>
        </w:rPr>
        <w:t> </w:t>
      </w:r>
      <w:r w:rsidRPr="00F1663D">
        <w:rPr>
          <w:rFonts w:ascii="Arial" w:hAnsi="Arial" w:cs="Arial"/>
          <w:color w:val="000000"/>
        </w:rPr>
        <w:t>In high utilization scenarios (&gt;95%), COGS increases non-linearly due to overtime and maintenance premiums, slightly compressing gross margin despite higher volume.</w:t>
      </w:r>
    </w:p>
    <w:p w14:paraId="7524E2A0" w14:textId="16039979" w:rsidR="00F1663D" w:rsidRDefault="00F1663D" w:rsidP="00711132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Inventory:</w:t>
      </w:r>
    </w:p>
    <w:p w14:paraId="20553A65" w14:textId="58A25E2A" w:rsidR="00F1663D" w:rsidRDefault="00F1663D" w:rsidP="00711132">
      <w:pPr>
        <w:pStyle w:val="ListParagraph"/>
        <w:numPr>
          <w:ilvl w:val="1"/>
          <w:numId w:val="19"/>
        </w:numPr>
        <w:spacing w:line="276" w:lineRule="auto"/>
        <w:rPr>
          <w:rFonts w:ascii="Arial" w:hAnsi="Arial" w:cs="Arial"/>
          <w:color w:val="000000"/>
        </w:rPr>
      </w:pPr>
      <w:r w:rsidRPr="00F1663D">
        <w:rPr>
          <w:rFonts w:ascii="Arial" w:hAnsi="Arial" w:cs="Arial"/>
          <w:i/>
          <w:iCs/>
          <w:color w:val="000000"/>
        </w:rPr>
        <w:t>Risk:</w:t>
      </w:r>
      <w:r w:rsidRPr="00F1663D">
        <w:rPr>
          <w:rStyle w:val="apple-converted-space"/>
          <w:rFonts w:ascii="Arial" w:hAnsi="Arial" w:cs="Arial"/>
          <w:color w:val="000000"/>
        </w:rPr>
        <w:t> </w:t>
      </w:r>
      <w:r w:rsidRPr="00F1663D">
        <w:rPr>
          <w:rFonts w:ascii="Arial" w:hAnsi="Arial" w:cs="Arial"/>
          <w:color w:val="000000"/>
        </w:rPr>
        <w:t>In low utilization scenarios (&lt;75%, e.g., unplanned outage), Inventory implies a buildup of unrefined crude or stagnant finished goods. This creates a liquidity drag on the Balance Sheet.</w:t>
      </w:r>
    </w:p>
    <w:p w14:paraId="0BB47DD8" w14:textId="07FC5984" w:rsidR="00F1663D" w:rsidRDefault="00F1663D" w:rsidP="00711132">
      <w:pPr>
        <w:pStyle w:val="ListParagraph"/>
        <w:numPr>
          <w:ilvl w:val="0"/>
          <w:numId w:val="19"/>
        </w:numPr>
        <w:spacing w:line="276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Accounts Payable:</w:t>
      </w:r>
    </w:p>
    <w:p w14:paraId="44AC35FA" w14:textId="192E0969" w:rsidR="00F1663D" w:rsidRDefault="00F1663D" w:rsidP="00711132">
      <w:pPr>
        <w:pStyle w:val="ListParagraph"/>
        <w:numPr>
          <w:ilvl w:val="1"/>
          <w:numId w:val="19"/>
        </w:numPr>
        <w:spacing w:line="276" w:lineRule="auto"/>
        <w:rPr>
          <w:rFonts w:ascii="Arial" w:hAnsi="Arial" w:cs="Arial"/>
          <w:color w:val="000000"/>
        </w:rPr>
      </w:pPr>
      <w:r w:rsidRPr="00F1663D">
        <w:rPr>
          <w:rFonts w:ascii="Arial" w:hAnsi="Arial" w:cs="Arial"/>
          <w:i/>
          <w:iCs/>
          <w:color w:val="000000"/>
        </w:rPr>
        <w:lastRenderedPageBreak/>
        <w:t>Risk:</w:t>
      </w:r>
      <w:r w:rsidRPr="00F1663D">
        <w:rPr>
          <w:rStyle w:val="apple-converted-space"/>
          <w:rFonts w:ascii="Arial" w:hAnsi="Arial" w:cs="Arial"/>
          <w:color w:val="000000"/>
        </w:rPr>
        <w:t> </w:t>
      </w:r>
      <w:r w:rsidRPr="00F1663D">
        <w:rPr>
          <w:rFonts w:ascii="Arial" w:hAnsi="Arial" w:cs="Arial"/>
          <w:color w:val="000000"/>
        </w:rPr>
        <w:t>High utilization expands A/P, effectively providing interest-free financing. Conversely, a drop in utilization contracts A/P, requiring immediate cash outflows to settle supplier debts, which pressures the "Cash and Equivalents" line.</w:t>
      </w:r>
    </w:p>
    <w:p w14:paraId="51783A10" w14:textId="2F9844A2" w:rsidR="00F1663D" w:rsidRDefault="00F1663D" w:rsidP="00711132">
      <w:pPr>
        <w:pStyle w:val="ListParagraph"/>
        <w:spacing w:line="276" w:lineRule="auto"/>
        <w:ind w:left="1440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7F8DBBF6" wp14:editId="1E173F36">
            <wp:extent cx="5750061" cy="2743200"/>
            <wp:effectExtent l="0" t="0" r="15875" b="12700"/>
            <wp:docPr id="32403946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7BF18B0-0830-634E-7DDD-AE23F3D0A0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7FF3AC0" w14:textId="4EAC01DA" w:rsidR="00F1663D" w:rsidRDefault="00565B3F" w:rsidP="00711132">
      <w:pPr>
        <w:pStyle w:val="Heading1"/>
        <w:spacing w:line="276" w:lineRule="auto"/>
      </w:pPr>
      <w:bookmarkStart w:id="5" w:name="_Toc216524890"/>
      <w:r w:rsidRPr="00565B3F">
        <w:t>Regulatory &amp; Environmental Risk</w:t>
      </w:r>
      <w:bookmarkEnd w:id="5"/>
    </w:p>
    <w:p w14:paraId="45027D9B" w14:textId="7E73B5E4" w:rsidR="00565B3F" w:rsidRDefault="00565B3F" w:rsidP="00711132">
      <w:pPr>
        <w:pStyle w:val="Heading2"/>
        <w:spacing w:line="276" w:lineRule="auto"/>
      </w:pPr>
      <w:r>
        <w:t>The RINs and Carbon Market</w:t>
      </w:r>
    </w:p>
    <w:p w14:paraId="3AF8CD12" w14:textId="689D4D27" w:rsidR="00565B3F" w:rsidRDefault="00565B3F" w:rsidP="00711132">
      <w:pPr>
        <w:spacing w:line="276" w:lineRule="auto"/>
        <w:rPr>
          <w:rFonts w:ascii="Arial" w:hAnsi="Arial" w:cs="Arial"/>
          <w:color w:val="000000"/>
        </w:rPr>
      </w:pPr>
      <w:r w:rsidRPr="00565B3F">
        <w:rPr>
          <w:rFonts w:ascii="Arial" w:hAnsi="Arial" w:cs="Arial"/>
          <w:color w:val="000000"/>
        </w:rPr>
        <w:t>Valero faces significant exposure to compliance costs, specifically Renewable Identification Numbers (RINs) and California’s LCFS.</w:t>
      </w:r>
    </w:p>
    <w:p w14:paraId="6E66D478" w14:textId="1515E2F6" w:rsidR="00565B3F" w:rsidRPr="00565B3F" w:rsidRDefault="00565B3F" w:rsidP="00711132">
      <w:pPr>
        <w:pStyle w:val="Heading3"/>
        <w:spacing w:line="276" w:lineRule="auto"/>
        <w:rPr>
          <w:rFonts w:ascii="Arial" w:hAnsi="Arial" w:cs="Arial"/>
          <w:color w:val="000000"/>
          <w:sz w:val="24"/>
          <w:szCs w:val="24"/>
        </w:rPr>
      </w:pPr>
      <w:r w:rsidRPr="00565B3F">
        <w:rPr>
          <w:rFonts w:ascii="Arial" w:hAnsi="Arial" w:cs="Arial"/>
          <w:color w:val="000000"/>
          <w:sz w:val="24"/>
          <w:szCs w:val="24"/>
        </w:rPr>
        <w:t>Simulation Inputs</w:t>
      </w:r>
      <w:r w:rsidR="00CE13FB">
        <w:rPr>
          <w:rFonts w:ascii="Arial" w:hAnsi="Arial" w:cs="Arial"/>
          <w:color w:val="000000"/>
          <w:sz w:val="24"/>
          <w:szCs w:val="24"/>
        </w:rPr>
        <w:t xml:space="preserve">: </w:t>
      </w:r>
    </w:p>
    <w:p w14:paraId="79F1E5B8" w14:textId="589A071B" w:rsidR="00565B3F" w:rsidRPr="00565B3F" w:rsidRDefault="00565B3F" w:rsidP="00711132">
      <w:pPr>
        <w:pStyle w:val="NormalWeb"/>
        <w:numPr>
          <w:ilvl w:val="0"/>
          <w:numId w:val="20"/>
        </w:numPr>
        <w:spacing w:line="276" w:lineRule="auto"/>
        <w:rPr>
          <w:rFonts w:ascii="Arial" w:hAnsi="Arial" w:cs="Arial"/>
          <w:color w:val="000000"/>
        </w:rPr>
      </w:pPr>
      <w:r w:rsidRPr="00565B3F">
        <w:rPr>
          <w:rFonts w:ascii="Arial" w:hAnsi="Arial" w:cs="Arial"/>
          <w:b/>
          <w:bCs/>
          <w:color w:val="000000"/>
        </w:rPr>
        <w:t>RIN Price Mean:</w:t>
      </w:r>
      <w:r w:rsidRPr="00565B3F">
        <w:rPr>
          <w:rStyle w:val="apple-converted-space"/>
          <w:rFonts w:ascii="Arial" w:eastAsiaTheme="majorEastAsia" w:hAnsi="Arial" w:cs="Arial"/>
          <w:color w:val="000000"/>
        </w:rPr>
        <w:t> </w:t>
      </w:r>
      <w:r w:rsidR="00C50F40">
        <w:rPr>
          <w:rFonts w:ascii="Arial" w:hAnsi="Arial" w:cs="Arial"/>
        </w:rPr>
        <w:t xml:space="preserve">Approx. </w:t>
      </w:r>
      <w:r w:rsidRPr="00565B3F">
        <w:rPr>
          <w:rFonts w:ascii="Arial" w:hAnsi="Arial" w:cs="Arial"/>
          <w:color w:val="000000"/>
        </w:rPr>
        <w:t>$1.10</w:t>
      </w:r>
    </w:p>
    <w:p w14:paraId="5006B3DC" w14:textId="77E20E1D" w:rsidR="00565B3F" w:rsidRDefault="00565B3F" w:rsidP="00711132">
      <w:pPr>
        <w:pStyle w:val="NormalWeb"/>
        <w:numPr>
          <w:ilvl w:val="0"/>
          <w:numId w:val="20"/>
        </w:numPr>
        <w:spacing w:line="276" w:lineRule="auto"/>
        <w:rPr>
          <w:rFonts w:ascii="Arial" w:hAnsi="Arial" w:cs="Arial"/>
          <w:color w:val="000000"/>
        </w:rPr>
      </w:pPr>
      <w:r w:rsidRPr="00565B3F">
        <w:rPr>
          <w:rFonts w:ascii="Arial" w:hAnsi="Arial" w:cs="Arial"/>
          <w:b/>
          <w:bCs/>
          <w:color w:val="000000"/>
        </w:rPr>
        <w:t>Volatility:</w:t>
      </w:r>
      <w:r w:rsidRPr="00565B3F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565B3F">
        <w:rPr>
          <w:rFonts w:ascii="Arial" w:hAnsi="Arial" w:cs="Arial"/>
          <w:color w:val="000000"/>
        </w:rPr>
        <w:t>High. The simulation accounts for fat-tail risks where regulatory tightening causes price spikes (e.g., RINs &gt; $2.00).</w:t>
      </w:r>
    </w:p>
    <w:p w14:paraId="22FEA6A4" w14:textId="709ADFE4" w:rsidR="00565B3F" w:rsidRDefault="00565B3F" w:rsidP="00711132">
      <w:pPr>
        <w:pStyle w:val="Heading2"/>
        <w:spacing w:line="276" w:lineRule="auto"/>
      </w:pPr>
      <w:r>
        <w:t>ARO (Asset Retirement Obligation) Trigger</w:t>
      </w:r>
    </w:p>
    <w:p w14:paraId="1D4D34F7" w14:textId="10823014" w:rsidR="00565B3F" w:rsidRDefault="00565B3F" w:rsidP="00711132">
      <w:pPr>
        <w:spacing w:line="276" w:lineRule="auto"/>
        <w:rPr>
          <w:rFonts w:ascii="Arial" w:hAnsi="Arial" w:cs="Arial"/>
          <w:color w:val="000000"/>
        </w:rPr>
      </w:pPr>
      <w:r w:rsidRPr="00565B3F">
        <w:rPr>
          <w:rFonts w:ascii="Arial" w:hAnsi="Arial" w:cs="Arial"/>
          <w:color w:val="000000"/>
        </w:rPr>
        <w:t>A critical finding in our simulation involves the Asset Retirement Obligation.</w:t>
      </w:r>
    </w:p>
    <w:p w14:paraId="72A8ADCE" w14:textId="2FD52229" w:rsidR="00565B3F" w:rsidRPr="00565B3F" w:rsidRDefault="00565B3F" w:rsidP="00711132">
      <w:pPr>
        <w:pStyle w:val="ListParagraph"/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565B3F">
        <w:rPr>
          <w:rFonts w:ascii="Arial" w:hAnsi="Arial" w:cs="Arial"/>
          <w:b/>
          <w:bCs/>
          <w:color w:val="000000"/>
        </w:rPr>
        <w:t>The Trigger:</w:t>
      </w:r>
      <w:r w:rsidRPr="00565B3F">
        <w:rPr>
          <w:rStyle w:val="apple-converted-space"/>
          <w:rFonts w:ascii="Arial" w:hAnsi="Arial" w:cs="Arial"/>
          <w:color w:val="000000"/>
        </w:rPr>
        <w:t> </w:t>
      </w:r>
      <w:r w:rsidRPr="00565B3F">
        <w:rPr>
          <w:rFonts w:ascii="Arial" w:hAnsi="Arial" w:cs="Arial"/>
          <w:color w:val="000000"/>
        </w:rPr>
        <w:t>Historical data indicates that when RIN prices fall below a specific floor (as seen during COVID), the economic viability of certain renewable assets becomes questionable, triggering a legal obligation to record liability for asset retirement.</w:t>
      </w:r>
    </w:p>
    <w:p w14:paraId="423A240D" w14:textId="387DD83D" w:rsidR="00565B3F" w:rsidRPr="00565B3F" w:rsidRDefault="00565B3F" w:rsidP="00711132">
      <w:pPr>
        <w:pStyle w:val="ListParagraph"/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565B3F">
        <w:rPr>
          <w:rFonts w:ascii="Arial" w:hAnsi="Arial" w:cs="Arial"/>
          <w:b/>
          <w:bCs/>
          <w:color w:val="000000"/>
        </w:rPr>
        <w:t>Financial Impact:</w:t>
      </w:r>
      <w:r w:rsidRPr="00565B3F">
        <w:rPr>
          <w:rStyle w:val="apple-converted-space"/>
          <w:rFonts w:ascii="Arial" w:hAnsi="Arial" w:cs="Arial"/>
          <w:color w:val="000000"/>
        </w:rPr>
        <w:t> </w:t>
      </w:r>
      <w:r w:rsidRPr="00565B3F">
        <w:rPr>
          <w:rFonts w:ascii="Arial" w:hAnsi="Arial" w:cs="Arial"/>
          <w:color w:val="000000"/>
        </w:rPr>
        <w:t xml:space="preserve">In our </w:t>
      </w:r>
      <w:r w:rsidR="002F1211" w:rsidRPr="00565B3F">
        <w:rPr>
          <w:rFonts w:ascii="Arial" w:hAnsi="Arial" w:cs="Arial"/>
          <w:color w:val="000000"/>
        </w:rPr>
        <w:t>Worst-Case</w:t>
      </w:r>
      <w:r w:rsidRPr="00565B3F">
        <w:rPr>
          <w:rFonts w:ascii="Arial" w:hAnsi="Arial" w:cs="Arial"/>
          <w:color w:val="000000"/>
        </w:rPr>
        <w:t xml:space="preserve"> simulation paths, we observe an increase in Non-Current Liabilities attributed to ARO.</w:t>
      </w:r>
    </w:p>
    <w:p w14:paraId="345E131C" w14:textId="5A6534B5" w:rsidR="00565B3F" w:rsidRPr="00CF1D74" w:rsidRDefault="00565B3F" w:rsidP="00711132">
      <w:pPr>
        <w:pStyle w:val="ListParagraph"/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565B3F">
        <w:rPr>
          <w:rFonts w:ascii="Arial" w:hAnsi="Arial" w:cs="Arial"/>
          <w:b/>
          <w:bCs/>
          <w:color w:val="000000"/>
        </w:rPr>
        <w:t>Accounting Note:</w:t>
      </w:r>
      <w:r w:rsidRPr="00565B3F">
        <w:rPr>
          <w:rStyle w:val="apple-converted-space"/>
          <w:rFonts w:ascii="Arial" w:hAnsi="Arial" w:cs="Arial"/>
          <w:color w:val="000000"/>
        </w:rPr>
        <w:t> </w:t>
      </w:r>
      <w:r w:rsidRPr="00565B3F">
        <w:rPr>
          <w:rFonts w:ascii="Arial" w:hAnsi="Arial" w:cs="Arial"/>
          <w:color w:val="000000"/>
        </w:rPr>
        <w:t>We specifically modeled a</w:t>
      </w:r>
      <w:r w:rsidRPr="00565B3F">
        <w:rPr>
          <w:rStyle w:val="apple-converted-space"/>
          <w:rFonts w:ascii="Arial" w:hAnsi="Arial" w:cs="Arial"/>
          <w:color w:val="000000"/>
        </w:rPr>
        <w:t> </w:t>
      </w:r>
      <w:r w:rsidRPr="002F1211">
        <w:rPr>
          <w:rFonts w:ascii="Arial" w:hAnsi="Arial" w:cs="Arial"/>
          <w:color w:val="000000"/>
        </w:rPr>
        <w:t>$150 million</w:t>
      </w:r>
      <w:r w:rsidRPr="00565B3F">
        <w:rPr>
          <w:rStyle w:val="apple-converted-space"/>
          <w:rFonts w:ascii="Arial" w:hAnsi="Arial" w:cs="Arial"/>
          <w:color w:val="000000"/>
        </w:rPr>
        <w:t> </w:t>
      </w:r>
      <w:r w:rsidRPr="00565B3F">
        <w:rPr>
          <w:rFonts w:ascii="Arial" w:hAnsi="Arial" w:cs="Arial"/>
          <w:color w:val="000000"/>
        </w:rPr>
        <w:t xml:space="preserve">reduction/adjustment mechanism to align the simulated ARO with fair value estimates, ensuring the Balance </w:t>
      </w:r>
      <w:r w:rsidRPr="00565B3F">
        <w:rPr>
          <w:rFonts w:ascii="Arial" w:hAnsi="Arial" w:cs="Arial"/>
          <w:color w:val="000000"/>
        </w:rPr>
        <w:lastRenderedPageBreak/>
        <w:t>Sheet is not overstated.</w:t>
      </w:r>
      <w:r w:rsidR="00F72358">
        <w:rPr>
          <w:rFonts w:ascii="Arial" w:hAnsi="Arial" w:cs="Arial"/>
          <w:color w:val="000000"/>
        </w:rPr>
        <w:t xml:space="preserve"> </w:t>
      </w:r>
      <w:r w:rsidR="00F72358" w:rsidRPr="00F72358">
        <w:rPr>
          <w:rFonts w:ascii="Arial" w:hAnsi="Arial" w:cs="Arial"/>
          <w:color w:val="000000"/>
        </w:rPr>
        <w:t>The $150M liability is a 'Constructive Obligation' triggered only when RIN prices fall below the economic floor (resembling COVID-era lows)</w:t>
      </w:r>
    </w:p>
    <w:p w14:paraId="42852285" w14:textId="77777777" w:rsidR="00CF1D74" w:rsidRDefault="00CF1D74" w:rsidP="00CF1D74">
      <w:pPr>
        <w:spacing w:line="276" w:lineRule="auto"/>
        <w:rPr>
          <w:rFonts w:ascii="Arial" w:hAnsi="Arial" w:cs="Arial"/>
        </w:rPr>
      </w:pPr>
    </w:p>
    <w:p w14:paraId="080BB738" w14:textId="2E0E205B" w:rsidR="00CF1D74" w:rsidRDefault="003F7900" w:rsidP="00CF1D74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D54688F" wp14:editId="6A33E629">
            <wp:extent cx="2919369" cy="2121408"/>
            <wp:effectExtent l="0" t="0" r="1905" b="0"/>
            <wp:docPr id="810659902" name="Picture 4" descr="A graph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9902" name="Picture 4" descr="A graph of a pric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201" cy="221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EFC1A46" wp14:editId="4CFDC3CC">
            <wp:extent cx="3471131" cy="1921079"/>
            <wp:effectExtent l="0" t="0" r="0" b="0"/>
            <wp:docPr id="445329700" name="Picture 5" descr="A graph of carbon allow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29700" name="Picture 5" descr="A graph of carbon allowanc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266" cy="197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66A5" w14:textId="77777777" w:rsidR="00CF1D74" w:rsidRPr="00CF1D74" w:rsidRDefault="00CF1D74" w:rsidP="00CF1D74">
      <w:pPr>
        <w:spacing w:line="276" w:lineRule="auto"/>
        <w:rPr>
          <w:rFonts w:ascii="Arial" w:hAnsi="Arial" w:cs="Arial"/>
        </w:rPr>
      </w:pPr>
    </w:p>
    <w:p w14:paraId="495D6DE7" w14:textId="77777777" w:rsidR="00565B3F" w:rsidRDefault="00565B3F" w:rsidP="00711132">
      <w:pPr>
        <w:spacing w:line="276" w:lineRule="auto"/>
        <w:rPr>
          <w:rFonts w:ascii="Arial" w:hAnsi="Arial" w:cs="Arial"/>
        </w:rPr>
      </w:pPr>
    </w:p>
    <w:p w14:paraId="444EB636" w14:textId="19D3C4C7" w:rsidR="00565B3F" w:rsidRDefault="00565B3F" w:rsidP="00711132">
      <w:pPr>
        <w:pStyle w:val="Heading1"/>
        <w:spacing w:line="276" w:lineRule="auto"/>
      </w:pPr>
      <w:bookmarkStart w:id="6" w:name="_Toc216524891"/>
      <w:r>
        <w:t>Simulation Results: Finance Statements</w:t>
      </w:r>
      <w:bookmarkEnd w:id="6"/>
    </w:p>
    <w:p w14:paraId="2852DE33" w14:textId="1A9FA44A" w:rsidR="00565B3F" w:rsidRDefault="00565B3F" w:rsidP="00711132">
      <w:pPr>
        <w:pStyle w:val="Heading2"/>
        <w:spacing w:line="276" w:lineRule="auto"/>
      </w:pPr>
      <w:r>
        <w:t>Income Statement Projections</w:t>
      </w:r>
    </w:p>
    <w:p w14:paraId="1982E878" w14:textId="6C7351F6" w:rsidR="00565B3F" w:rsidRPr="00565B3F" w:rsidRDefault="00565B3F" w:rsidP="00711132">
      <w:pPr>
        <w:spacing w:line="276" w:lineRule="auto"/>
        <w:rPr>
          <w:rFonts w:ascii="Arial" w:hAnsi="Arial" w:cs="Arial"/>
          <w:color w:val="000000"/>
        </w:rPr>
      </w:pPr>
      <w:r w:rsidRPr="00565B3F">
        <w:rPr>
          <w:rFonts w:ascii="Arial" w:hAnsi="Arial" w:cs="Arial"/>
          <w:color w:val="000000"/>
        </w:rPr>
        <w:t>Aggregating the 5,000 iterations, we derived the following probabilistic income statement for FY 2024:</w:t>
      </w:r>
    </w:p>
    <w:p w14:paraId="22EC0373" w14:textId="5DE63E33" w:rsidR="00565B3F" w:rsidRPr="00031E23" w:rsidRDefault="00565B3F" w:rsidP="00711132">
      <w:pPr>
        <w:pStyle w:val="ListParagraph"/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31E23">
        <w:rPr>
          <w:rFonts w:ascii="Arial" w:hAnsi="Arial" w:cs="Arial"/>
          <w:b/>
          <w:bCs/>
          <w:color w:val="000000"/>
        </w:rPr>
        <w:t>Revenue</w:t>
      </w:r>
      <w:r w:rsidRPr="00031E23">
        <w:rPr>
          <w:rFonts w:ascii="Arial" w:hAnsi="Arial" w:cs="Arial"/>
          <w:color w:val="000000"/>
        </w:rPr>
        <w:t>:</w:t>
      </w:r>
      <w:r w:rsidRPr="00031E23">
        <w:rPr>
          <w:rStyle w:val="apple-converted-space"/>
          <w:rFonts w:ascii="Arial" w:hAnsi="Arial" w:cs="Arial"/>
          <w:color w:val="000000"/>
        </w:rPr>
        <w:t> </w:t>
      </w:r>
      <w:r w:rsidRPr="00031E23">
        <w:rPr>
          <w:rFonts w:ascii="Arial" w:hAnsi="Arial" w:cs="Arial"/>
          <w:color w:val="000000"/>
        </w:rPr>
        <w:t>$123.9B.</w:t>
      </w:r>
    </w:p>
    <w:p w14:paraId="32C45C66" w14:textId="070D43BB" w:rsidR="00565B3F" w:rsidRPr="00031E23" w:rsidRDefault="00565B3F" w:rsidP="00711132">
      <w:pPr>
        <w:pStyle w:val="ListParagraph"/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31E23">
        <w:rPr>
          <w:rFonts w:ascii="Arial" w:hAnsi="Arial" w:cs="Arial"/>
          <w:b/>
          <w:bCs/>
          <w:color w:val="000000"/>
        </w:rPr>
        <w:t>Operating Income</w:t>
      </w:r>
      <w:r w:rsidRPr="00031E23">
        <w:rPr>
          <w:rFonts w:ascii="Arial" w:hAnsi="Arial" w:cs="Arial"/>
          <w:color w:val="000000"/>
        </w:rPr>
        <w:t xml:space="preserve"> </w:t>
      </w:r>
      <w:r w:rsidRPr="00031E23">
        <w:rPr>
          <w:rFonts w:ascii="Arial" w:hAnsi="Arial" w:cs="Arial"/>
          <w:b/>
          <w:bCs/>
          <w:color w:val="000000"/>
        </w:rPr>
        <w:t>(EBIT)</w:t>
      </w:r>
      <w:r w:rsidRPr="00031E23">
        <w:rPr>
          <w:rFonts w:ascii="Arial" w:hAnsi="Arial" w:cs="Arial"/>
          <w:color w:val="000000"/>
        </w:rPr>
        <w:t>:</w:t>
      </w:r>
    </w:p>
    <w:p w14:paraId="32199603" w14:textId="77777777" w:rsidR="00565B3F" w:rsidRPr="00565B3F" w:rsidRDefault="00565B3F" w:rsidP="00711132">
      <w:pPr>
        <w:pStyle w:val="NormalWeb"/>
        <w:numPr>
          <w:ilvl w:val="1"/>
          <w:numId w:val="22"/>
        </w:numPr>
        <w:spacing w:line="276" w:lineRule="auto"/>
        <w:rPr>
          <w:rFonts w:ascii="Arial" w:hAnsi="Arial" w:cs="Arial"/>
          <w:color w:val="000000"/>
        </w:rPr>
      </w:pPr>
      <w:r w:rsidRPr="00565B3F">
        <w:rPr>
          <w:rFonts w:ascii="Arial" w:hAnsi="Arial" w:cs="Arial"/>
          <w:i/>
          <w:iCs/>
          <w:color w:val="000000"/>
        </w:rPr>
        <w:t>Mean:</w:t>
      </w:r>
      <w:r w:rsidRPr="00565B3F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565B3F">
        <w:rPr>
          <w:rFonts w:ascii="Arial" w:hAnsi="Arial" w:cs="Arial"/>
          <w:color w:val="000000"/>
        </w:rPr>
        <w:t>$3.19 Billion</w:t>
      </w:r>
    </w:p>
    <w:p w14:paraId="1A9CCC94" w14:textId="77777777" w:rsidR="00565B3F" w:rsidRPr="00565B3F" w:rsidRDefault="00565B3F" w:rsidP="00711132">
      <w:pPr>
        <w:pStyle w:val="NormalWeb"/>
        <w:numPr>
          <w:ilvl w:val="1"/>
          <w:numId w:val="22"/>
        </w:numPr>
        <w:spacing w:line="276" w:lineRule="auto"/>
        <w:rPr>
          <w:rFonts w:ascii="Arial" w:hAnsi="Arial" w:cs="Arial"/>
          <w:color w:val="000000"/>
        </w:rPr>
      </w:pPr>
      <w:r w:rsidRPr="00565B3F">
        <w:rPr>
          <w:rFonts w:ascii="Arial" w:hAnsi="Arial" w:cs="Arial"/>
          <w:i/>
          <w:iCs/>
          <w:color w:val="000000"/>
        </w:rPr>
        <w:t>Standard Deviation:</w:t>
      </w:r>
      <w:r w:rsidRPr="00565B3F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565B3F">
        <w:rPr>
          <w:rFonts w:ascii="Arial" w:hAnsi="Arial" w:cs="Arial"/>
          <w:color w:val="000000"/>
        </w:rPr>
        <w:t>$450 Million</w:t>
      </w:r>
    </w:p>
    <w:p w14:paraId="1BDA827F" w14:textId="4C112101" w:rsidR="00565B3F" w:rsidRPr="00374187" w:rsidRDefault="00565B3F" w:rsidP="00711132">
      <w:pPr>
        <w:pStyle w:val="NormalWeb"/>
        <w:numPr>
          <w:ilvl w:val="1"/>
          <w:numId w:val="22"/>
        </w:numPr>
        <w:spacing w:line="276" w:lineRule="auto"/>
        <w:rPr>
          <w:rFonts w:ascii="Arial" w:hAnsi="Arial" w:cs="Arial"/>
          <w:color w:val="000000"/>
        </w:rPr>
      </w:pPr>
      <w:r w:rsidRPr="00565B3F">
        <w:rPr>
          <w:rFonts w:ascii="Arial" w:hAnsi="Arial" w:cs="Arial"/>
          <w:i/>
          <w:iCs/>
          <w:color w:val="000000"/>
        </w:rPr>
        <w:t>Coefficient of Variation:</w:t>
      </w:r>
      <w:r w:rsidRPr="00565B3F">
        <w:rPr>
          <w:rStyle w:val="apple-converted-space"/>
          <w:rFonts w:ascii="Arial" w:eastAsiaTheme="majorEastAsia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Approx. </w:t>
      </w:r>
      <w:r w:rsidRPr="00565B3F">
        <w:rPr>
          <w:rFonts w:ascii="Arial" w:hAnsi="Arial" w:cs="Arial"/>
          <w:color w:val="000000"/>
        </w:rPr>
        <w:t>14%</w:t>
      </w:r>
    </w:p>
    <w:p w14:paraId="36AFED0C" w14:textId="169A2CA3" w:rsidR="00031E23" w:rsidRDefault="00031E23" w:rsidP="00711132">
      <w:pPr>
        <w:pStyle w:val="Heading2"/>
        <w:spacing w:line="276" w:lineRule="auto"/>
      </w:pPr>
      <w:r>
        <w:t>Balance Sheet Impact</w:t>
      </w:r>
    </w:p>
    <w:p w14:paraId="6256882A" w14:textId="0DEF2647" w:rsidR="00031E23" w:rsidRPr="00031E23" w:rsidRDefault="00031E23" w:rsidP="00711132">
      <w:pPr>
        <w:spacing w:line="276" w:lineRule="auto"/>
        <w:rPr>
          <w:rFonts w:ascii="Arial" w:hAnsi="Arial" w:cs="Arial"/>
          <w:color w:val="000000"/>
        </w:rPr>
      </w:pPr>
      <w:r w:rsidRPr="00031E23">
        <w:rPr>
          <w:rFonts w:ascii="Arial" w:hAnsi="Arial" w:cs="Arial"/>
          <w:color w:val="000000"/>
        </w:rPr>
        <w:t>The simulation successfully targeted volatility in Cash, Inventory, and PPE.</w:t>
      </w:r>
    </w:p>
    <w:p w14:paraId="02F5D2D2" w14:textId="144E6846" w:rsidR="00031E23" w:rsidRPr="00031E23" w:rsidRDefault="00031E23" w:rsidP="0071113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</w:rPr>
      </w:pPr>
      <w:r w:rsidRPr="00031E23">
        <w:rPr>
          <w:rFonts w:ascii="Arial" w:hAnsi="Arial" w:cs="Arial"/>
          <w:b/>
          <w:bCs/>
          <w:color w:val="000000"/>
        </w:rPr>
        <w:t>Cash Flow at Risk:</w:t>
      </w:r>
      <w:r w:rsidRPr="00031E23">
        <w:rPr>
          <w:rStyle w:val="apple-converted-space"/>
          <w:rFonts w:ascii="Arial" w:hAnsi="Arial" w:cs="Arial"/>
          <w:color w:val="000000"/>
        </w:rPr>
        <w:t> </w:t>
      </w:r>
      <w:r w:rsidRPr="00031E23">
        <w:rPr>
          <w:rFonts w:ascii="Arial" w:hAnsi="Arial" w:cs="Arial"/>
          <w:color w:val="000000"/>
        </w:rPr>
        <w:t xml:space="preserve">The Cash and Cash Equivalents line </w:t>
      </w:r>
      <w:r>
        <w:rPr>
          <w:rFonts w:ascii="Arial" w:hAnsi="Arial" w:cs="Arial"/>
          <w:color w:val="000000"/>
        </w:rPr>
        <w:t xml:space="preserve">item </w:t>
      </w:r>
      <w:r w:rsidRPr="00031E23">
        <w:rPr>
          <w:rFonts w:ascii="Arial" w:hAnsi="Arial" w:cs="Arial"/>
          <w:color w:val="000000"/>
        </w:rPr>
        <w:t>shows significant variance. In the Best Case, cash swells to</w:t>
      </w:r>
      <w:r w:rsidRPr="00031E23">
        <w:rPr>
          <w:rStyle w:val="apple-converted-space"/>
          <w:rFonts w:ascii="Arial" w:hAnsi="Arial" w:cs="Arial"/>
          <w:color w:val="000000"/>
        </w:rPr>
        <w:t> </w:t>
      </w:r>
      <w:r w:rsidRPr="00031E23">
        <w:rPr>
          <w:rFonts w:ascii="Arial" w:hAnsi="Arial" w:cs="Arial"/>
          <w:color w:val="000000"/>
        </w:rPr>
        <w:t>$3.6B; in the Worst Case, it contracts to</w:t>
      </w:r>
      <w:r w:rsidRPr="00031E23">
        <w:rPr>
          <w:rStyle w:val="apple-converted-space"/>
          <w:rFonts w:ascii="Arial" w:hAnsi="Arial" w:cs="Arial"/>
          <w:color w:val="000000"/>
        </w:rPr>
        <w:t> </w:t>
      </w:r>
      <w:r w:rsidRPr="00031E23">
        <w:rPr>
          <w:rFonts w:ascii="Arial" w:hAnsi="Arial" w:cs="Arial"/>
          <w:color w:val="000000"/>
        </w:rPr>
        <w:t>$2.5B.</w:t>
      </w:r>
    </w:p>
    <w:p w14:paraId="74E27B8F" w14:textId="17E598AE" w:rsidR="00031E23" w:rsidRPr="00031E23" w:rsidRDefault="00031E23" w:rsidP="00711132">
      <w:pPr>
        <w:pStyle w:val="ListParagraph"/>
        <w:numPr>
          <w:ilvl w:val="0"/>
          <w:numId w:val="24"/>
        </w:numPr>
        <w:spacing w:line="276" w:lineRule="auto"/>
        <w:rPr>
          <w:rFonts w:ascii="Arial" w:hAnsi="Arial" w:cs="Arial"/>
        </w:rPr>
      </w:pPr>
      <w:r w:rsidRPr="00031E23">
        <w:rPr>
          <w:rFonts w:ascii="Arial" w:hAnsi="Arial" w:cs="Arial"/>
          <w:b/>
          <w:bCs/>
          <w:color w:val="000000"/>
        </w:rPr>
        <w:lastRenderedPageBreak/>
        <w:t>Inventory:</w:t>
      </w:r>
      <w:r w:rsidRPr="00031E23">
        <w:rPr>
          <w:rStyle w:val="apple-converted-space"/>
          <w:rFonts w:ascii="Arial" w:hAnsi="Arial" w:cs="Arial"/>
          <w:color w:val="000000"/>
        </w:rPr>
        <w:t> </w:t>
      </w:r>
      <w:r w:rsidRPr="00031E23">
        <w:rPr>
          <w:rFonts w:ascii="Arial" w:hAnsi="Arial" w:cs="Arial"/>
          <w:color w:val="000000"/>
        </w:rPr>
        <w:t>Optimization is key. The simulation shows that standard deviation in inventory value is approximately</w:t>
      </w:r>
      <w:r w:rsidRPr="00031E23">
        <w:rPr>
          <w:rStyle w:val="apple-converted-space"/>
          <w:rFonts w:ascii="Arial" w:hAnsi="Arial" w:cs="Arial"/>
          <w:color w:val="000000"/>
        </w:rPr>
        <w:t> </w:t>
      </w:r>
      <w:r w:rsidRPr="00031E23">
        <w:rPr>
          <w:rFonts w:ascii="Arial" w:hAnsi="Arial" w:cs="Arial"/>
          <w:color w:val="000000"/>
        </w:rPr>
        <w:t>$1.03 Billion. This represents trapped capital that requires optimization.</w:t>
      </w:r>
    </w:p>
    <w:p w14:paraId="65CC7ADD" w14:textId="19AFF49A" w:rsidR="00031E23" w:rsidRDefault="00374187" w:rsidP="00711132">
      <w:pPr>
        <w:spacing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E476FB2" wp14:editId="7FC31837">
            <wp:extent cx="6858000" cy="2161645"/>
            <wp:effectExtent l="0" t="0" r="12700" b="10160"/>
            <wp:docPr id="7511503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BC70958-5DDF-BC90-6BF2-DD93FFA0B9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AC1C42B" w14:textId="468F580C" w:rsidR="00374187" w:rsidRDefault="00374187" w:rsidP="00711132">
      <w:pPr>
        <w:spacing w:line="27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431A792" wp14:editId="7FF62C08">
            <wp:extent cx="6714950" cy="2277110"/>
            <wp:effectExtent l="0" t="0" r="16510" b="8890"/>
            <wp:docPr id="14672650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4081CC6-9222-A7EB-F0EB-7B69088E33A7}"/>
                </a:ext>
                <a:ext uri="{147F2762-F138-4A5C-976F-8EAC2B608ADB}">
                  <a16:predDERef xmlns:a16="http://schemas.microsoft.com/office/drawing/2014/main" pred="{CBC70958-5DDF-BC90-6BF2-DD93FFA0B9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6A4CA8D" w14:textId="493C0DA1" w:rsidR="00031E23" w:rsidRDefault="00031E23" w:rsidP="00711132">
      <w:pPr>
        <w:pStyle w:val="Heading1"/>
        <w:spacing w:line="276" w:lineRule="auto"/>
      </w:pPr>
      <w:bookmarkStart w:id="7" w:name="_Toc216524892"/>
      <w:r>
        <w:t>Scenario Analysis</w:t>
      </w:r>
      <w:bookmarkEnd w:id="7"/>
    </w:p>
    <w:p w14:paraId="00434E16" w14:textId="7548BF57" w:rsidR="00031E23" w:rsidRDefault="00031E23" w:rsidP="00711132">
      <w:pPr>
        <w:spacing w:line="276" w:lineRule="auto"/>
        <w:rPr>
          <w:rFonts w:ascii="Arial" w:hAnsi="Arial" w:cs="Arial"/>
          <w:color w:val="000000"/>
        </w:rPr>
      </w:pPr>
      <w:r w:rsidRPr="00031E23">
        <w:rPr>
          <w:rFonts w:ascii="Arial" w:hAnsi="Arial" w:cs="Arial"/>
          <w:color w:val="000000"/>
        </w:rPr>
        <w:t>We isolated four distinct scenarios to test the robustness of the model. The results (Operating Income) are summarized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484"/>
        <w:gridCol w:w="6242"/>
      </w:tblGrid>
      <w:tr w:rsidR="00711132" w:rsidRPr="00031E23" w14:paraId="248DE6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93BE6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BC111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Operating Income ($ Millions)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A9333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Key Driver Characteristics</w:t>
            </w:r>
          </w:p>
        </w:tc>
      </w:tr>
      <w:tr w:rsidR="00711132" w:rsidRPr="00031E23" w14:paraId="031EA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4B765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Normal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C9679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$3,187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598AC" w14:textId="4EFFF21D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Mean Reversion on all spreads; Utilization </w:t>
            </w:r>
            <w:r w:rsidR="0037418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Approx. </w:t>
            </w: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90%.</w:t>
            </w:r>
          </w:p>
        </w:tc>
      </w:tr>
      <w:tr w:rsidR="00711132" w:rsidRPr="00031E23" w14:paraId="72E38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614DF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B8583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$3,325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DE3A9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High Spreads, Low RINs, Utilization 95%+.</w:t>
            </w:r>
          </w:p>
        </w:tc>
      </w:tr>
      <w:tr w:rsidR="00711132" w:rsidRPr="00031E23" w14:paraId="3A226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D7F59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Worst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B48AE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$2,814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022C4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Market Crash or "War-like" disruption; High Feedstock costs.</w:t>
            </w:r>
          </w:p>
        </w:tc>
      </w:tr>
      <w:tr w:rsidR="00711132" w:rsidRPr="00031E23" w14:paraId="09B4D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85F12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Weighted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421F5" w14:textId="77777777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$3,152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7ADD6" w14:textId="2F4606EF" w:rsidR="00031E23" w:rsidRPr="00031E23" w:rsidRDefault="00031E23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31E2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Probability-weighted average of all tails.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(Normal 70% and 15% each for other categories)</w:t>
            </w:r>
          </w:p>
        </w:tc>
      </w:tr>
    </w:tbl>
    <w:p w14:paraId="49BCA825" w14:textId="77777777" w:rsidR="00031E23" w:rsidRDefault="00031E23" w:rsidP="00711132">
      <w:pPr>
        <w:spacing w:line="276" w:lineRule="auto"/>
        <w:rPr>
          <w:rFonts w:ascii="Arial" w:hAnsi="Arial" w:cs="Arial"/>
        </w:rPr>
      </w:pPr>
    </w:p>
    <w:p w14:paraId="0115D4D9" w14:textId="45704419" w:rsidR="00374187" w:rsidRPr="00374187" w:rsidRDefault="00374187" w:rsidP="00711132">
      <w:pPr>
        <w:spacing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BD176C8" wp14:editId="1AF49E14">
            <wp:extent cx="6742999" cy="2277110"/>
            <wp:effectExtent l="0" t="0" r="13970" b="8890"/>
            <wp:docPr id="4629125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8142F69-BAB6-0E36-9605-48260F468E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Pr="00374187">
        <w:rPr>
          <w:noProof/>
        </w:rPr>
        <w:t xml:space="preserve"> </w:t>
      </w:r>
    </w:p>
    <w:p w14:paraId="0A666DC0" w14:textId="77777777" w:rsidR="00374187" w:rsidRDefault="00374187" w:rsidP="00711132">
      <w:pPr>
        <w:spacing w:line="276" w:lineRule="auto"/>
        <w:rPr>
          <w:rFonts w:ascii="Arial" w:hAnsi="Arial" w:cs="Arial"/>
        </w:rPr>
      </w:pPr>
    </w:p>
    <w:p w14:paraId="7E00345E" w14:textId="6126424A" w:rsidR="00031E23" w:rsidRDefault="00031E23" w:rsidP="00711132">
      <w:pPr>
        <w:pStyle w:val="Heading2"/>
        <w:spacing w:line="276" w:lineRule="auto"/>
      </w:pPr>
      <w:r>
        <w:t>Deep Drive: The Worst Case</w:t>
      </w:r>
    </w:p>
    <w:p w14:paraId="48C7D8A2" w14:textId="04DB0CCB" w:rsidR="00031E23" w:rsidRPr="00031E23" w:rsidRDefault="00031E23" w:rsidP="00711132">
      <w:pPr>
        <w:spacing w:line="276" w:lineRule="auto"/>
        <w:rPr>
          <w:rFonts w:ascii="Arial" w:hAnsi="Arial" w:cs="Arial"/>
          <w:color w:val="000000"/>
        </w:rPr>
      </w:pPr>
      <w:r w:rsidRPr="00031E23">
        <w:rPr>
          <w:rFonts w:ascii="Arial" w:hAnsi="Arial" w:cs="Arial"/>
          <w:color w:val="000000"/>
        </w:rPr>
        <w:t>In the Worst-Case scenario (Operating Income $2.</w:t>
      </w:r>
      <w:r w:rsidR="00374187">
        <w:rPr>
          <w:rFonts w:ascii="Arial" w:hAnsi="Arial" w:cs="Arial"/>
          <w:color w:val="000000"/>
        </w:rPr>
        <w:t>60</w:t>
      </w:r>
      <w:r w:rsidRPr="00031E23">
        <w:rPr>
          <w:rFonts w:ascii="Arial" w:hAnsi="Arial" w:cs="Arial"/>
          <w:color w:val="000000"/>
        </w:rPr>
        <w:t>B), we see the dramatic change:</w:t>
      </w:r>
    </w:p>
    <w:p w14:paraId="518CF391" w14:textId="6FC17F89" w:rsidR="00031E23" w:rsidRPr="00031E23" w:rsidRDefault="00031E23" w:rsidP="00711132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</w:rPr>
      </w:pPr>
      <w:r w:rsidRPr="00031E23">
        <w:rPr>
          <w:rFonts w:ascii="Arial" w:hAnsi="Arial" w:cs="Arial"/>
          <w:b/>
          <w:bCs/>
          <w:color w:val="000000"/>
        </w:rPr>
        <w:t>Market:</w:t>
      </w:r>
      <w:r w:rsidRPr="00031E23">
        <w:rPr>
          <w:rStyle w:val="apple-converted-space"/>
          <w:rFonts w:ascii="Arial" w:hAnsi="Arial" w:cs="Arial"/>
          <w:color w:val="000000"/>
        </w:rPr>
        <w:t> </w:t>
      </w:r>
      <w:r w:rsidRPr="00031E23">
        <w:rPr>
          <w:rFonts w:ascii="Arial" w:hAnsi="Arial" w:cs="Arial"/>
          <w:color w:val="000000"/>
        </w:rPr>
        <w:t>Crack spreads compress.</w:t>
      </w:r>
    </w:p>
    <w:p w14:paraId="2E0462B2" w14:textId="5A4D1F39" w:rsidR="00031E23" w:rsidRPr="00031E23" w:rsidRDefault="00031E23" w:rsidP="00711132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</w:rPr>
      </w:pPr>
      <w:r w:rsidRPr="00031E23">
        <w:rPr>
          <w:rFonts w:ascii="Arial" w:hAnsi="Arial" w:cs="Arial"/>
          <w:b/>
          <w:bCs/>
          <w:color w:val="000000"/>
        </w:rPr>
        <w:t>Ops:</w:t>
      </w:r>
      <w:r w:rsidRPr="00031E23">
        <w:rPr>
          <w:rStyle w:val="apple-converted-space"/>
          <w:rFonts w:ascii="Arial" w:hAnsi="Arial" w:cs="Arial"/>
          <w:color w:val="000000"/>
        </w:rPr>
        <w:t> </w:t>
      </w:r>
      <w:r w:rsidRPr="00031E23">
        <w:rPr>
          <w:rFonts w:ascii="Arial" w:hAnsi="Arial" w:cs="Arial"/>
          <w:color w:val="000000"/>
        </w:rPr>
        <w:t>Utilization drops to approx. 74%, reducing fixed cost absorption.</w:t>
      </w:r>
    </w:p>
    <w:p w14:paraId="18F57797" w14:textId="68229409" w:rsidR="00031E23" w:rsidRPr="00031E23" w:rsidRDefault="00031E23" w:rsidP="00711132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</w:rPr>
      </w:pPr>
      <w:r w:rsidRPr="00031E23">
        <w:rPr>
          <w:rFonts w:ascii="Arial" w:hAnsi="Arial" w:cs="Arial"/>
          <w:b/>
          <w:bCs/>
          <w:color w:val="000000"/>
        </w:rPr>
        <w:t>Reg:</w:t>
      </w:r>
      <w:r w:rsidRPr="00031E23">
        <w:rPr>
          <w:rStyle w:val="apple-converted-space"/>
          <w:rFonts w:ascii="Arial" w:hAnsi="Arial" w:cs="Arial"/>
          <w:color w:val="000000"/>
        </w:rPr>
        <w:t> </w:t>
      </w:r>
      <w:r w:rsidRPr="00031E23">
        <w:rPr>
          <w:rFonts w:ascii="Arial" w:hAnsi="Arial" w:cs="Arial"/>
          <w:color w:val="000000"/>
        </w:rPr>
        <w:t>RIN prices spike, increasing compliance costs.</w:t>
      </w:r>
    </w:p>
    <w:p w14:paraId="4BD8454E" w14:textId="26E81F85" w:rsidR="00031E23" w:rsidRPr="00031E23" w:rsidRDefault="00031E23" w:rsidP="00711132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</w:rPr>
      </w:pPr>
      <w:r w:rsidRPr="00031E23">
        <w:rPr>
          <w:rFonts w:ascii="Arial" w:hAnsi="Arial" w:cs="Arial"/>
          <w:b/>
          <w:bCs/>
          <w:color w:val="000000"/>
        </w:rPr>
        <w:t>Balance Sheet:</w:t>
      </w:r>
      <w:r w:rsidRPr="00031E23">
        <w:rPr>
          <w:rStyle w:val="apple-converted-space"/>
          <w:rFonts w:ascii="Arial" w:hAnsi="Arial" w:cs="Arial"/>
          <w:color w:val="000000"/>
        </w:rPr>
        <w:t> </w:t>
      </w:r>
      <w:r w:rsidRPr="00031E23">
        <w:rPr>
          <w:rFonts w:ascii="Arial" w:hAnsi="Arial" w:cs="Arial"/>
          <w:color w:val="000000"/>
        </w:rPr>
        <w:t>ARO liabilities increase, and Cash is consumed to pay down shrinking Accounts Payable.</w:t>
      </w:r>
    </w:p>
    <w:p w14:paraId="06FBA07F" w14:textId="43C31C6A" w:rsidR="00031E23" w:rsidRDefault="00031E23" w:rsidP="00711132">
      <w:pPr>
        <w:pStyle w:val="Heading1"/>
        <w:spacing w:line="276" w:lineRule="auto"/>
      </w:pPr>
      <w:bookmarkStart w:id="8" w:name="_Toc216524893"/>
      <w:r>
        <w:t>Recommendations &amp; Strategic Actions</w:t>
      </w:r>
      <w:bookmarkEnd w:id="8"/>
    </w:p>
    <w:p w14:paraId="5E913602" w14:textId="3FCE69C3" w:rsidR="00031E23" w:rsidRDefault="00031E23" w:rsidP="00711132">
      <w:pPr>
        <w:spacing w:line="276" w:lineRule="auto"/>
        <w:rPr>
          <w:rFonts w:ascii="Arial" w:hAnsi="Arial" w:cs="Arial"/>
          <w:color w:val="000000"/>
        </w:rPr>
      </w:pPr>
      <w:r w:rsidRPr="00031E23">
        <w:rPr>
          <w:rFonts w:ascii="Arial" w:hAnsi="Arial" w:cs="Arial"/>
          <w:color w:val="000000"/>
        </w:rPr>
        <w:t>Based on the stochastic analysis and the specific behavior of the risk drivers, we propose the following strategies:</w:t>
      </w:r>
    </w:p>
    <w:p w14:paraId="5C7BF57B" w14:textId="64B48115" w:rsidR="00031E23" w:rsidRDefault="00031E23" w:rsidP="00711132">
      <w:pPr>
        <w:pStyle w:val="Heading2"/>
        <w:spacing w:line="276" w:lineRule="auto"/>
      </w:pPr>
      <w:r>
        <w:t>Inventory Optimization</w:t>
      </w:r>
    </w:p>
    <w:p w14:paraId="5AFBDB52" w14:textId="5FD774E9" w:rsidR="00565B3F" w:rsidRPr="00C50F40" w:rsidRDefault="00031E23" w:rsidP="00711132">
      <w:pPr>
        <w:pStyle w:val="ListParagraph"/>
        <w:numPr>
          <w:ilvl w:val="0"/>
          <w:numId w:val="26"/>
        </w:numPr>
        <w:spacing w:line="276" w:lineRule="auto"/>
        <w:rPr>
          <w:rFonts w:ascii="Arial" w:hAnsi="Arial" w:cs="Arial"/>
        </w:rPr>
      </w:pPr>
      <w:r w:rsidRPr="00C50F40">
        <w:rPr>
          <w:rFonts w:ascii="Arial" w:hAnsi="Arial" w:cs="Arial"/>
          <w:b/>
          <w:bCs/>
          <w:color w:val="000000"/>
        </w:rPr>
        <w:t>Observation: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The regression shows Inventory is highly sensitive to Utilization variances ($1B standard deviation).</w:t>
      </w:r>
    </w:p>
    <w:p w14:paraId="55F6A34A" w14:textId="1D01F1FB" w:rsidR="00C50F40" w:rsidRPr="00C50F40" w:rsidRDefault="00C50F40" w:rsidP="00711132">
      <w:pPr>
        <w:pStyle w:val="ListParagraph"/>
        <w:numPr>
          <w:ilvl w:val="0"/>
          <w:numId w:val="26"/>
        </w:numPr>
        <w:spacing w:line="276" w:lineRule="auto"/>
        <w:rPr>
          <w:rFonts w:ascii="Arial" w:hAnsi="Arial" w:cs="Arial"/>
        </w:rPr>
      </w:pPr>
      <w:r w:rsidRPr="00C50F40">
        <w:rPr>
          <w:rFonts w:ascii="Arial" w:hAnsi="Arial" w:cs="Arial"/>
          <w:b/>
          <w:bCs/>
          <w:color w:val="000000"/>
        </w:rPr>
        <w:t>Action: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Move from static inventory targets to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Utilization-Based Purchasing. By linking crude intake to the probabilistic utilization rate (derived from this simulation), we can reduce the Cash Trap risk in the Worst</w:t>
      </w:r>
      <w:r>
        <w:rPr>
          <w:rFonts w:ascii="Arial" w:hAnsi="Arial" w:cs="Arial"/>
          <w:color w:val="000000"/>
        </w:rPr>
        <w:t>-Case</w:t>
      </w:r>
      <w:r w:rsidRPr="00C50F40">
        <w:rPr>
          <w:rFonts w:ascii="Arial" w:hAnsi="Arial" w:cs="Arial"/>
          <w:color w:val="000000"/>
        </w:rPr>
        <w:t xml:space="preserve"> scenario.</w:t>
      </w:r>
    </w:p>
    <w:p w14:paraId="083CF504" w14:textId="2231FB45" w:rsidR="00C50F40" w:rsidRDefault="00C50F40" w:rsidP="00711132">
      <w:pPr>
        <w:pStyle w:val="Heading2"/>
        <w:spacing w:line="276" w:lineRule="auto"/>
      </w:pPr>
      <w:r w:rsidRPr="00C50F40">
        <w:lastRenderedPageBreak/>
        <w:t>ARO Management</w:t>
      </w:r>
    </w:p>
    <w:p w14:paraId="62895B2B" w14:textId="1686C182" w:rsidR="00C50F40" w:rsidRPr="00C50F40" w:rsidRDefault="00C50F40" w:rsidP="00711132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C50F40">
        <w:rPr>
          <w:rFonts w:ascii="Arial" w:hAnsi="Arial" w:cs="Arial"/>
          <w:b/>
          <w:bCs/>
          <w:color w:val="000000"/>
        </w:rPr>
        <w:t>Issue: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The simulation confirms that ARO liabilities are not static. During periods of low RIN prices (resembling the COVID era), the fair value of the retirement obligation spikes.</w:t>
      </w:r>
    </w:p>
    <w:p w14:paraId="3D7BA982" w14:textId="1C41EB32" w:rsidR="00C50F40" w:rsidRPr="00C50F40" w:rsidRDefault="00C50F40" w:rsidP="00711132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</w:rPr>
      </w:pPr>
      <w:r w:rsidRPr="00C50F40">
        <w:rPr>
          <w:rFonts w:ascii="Arial" w:hAnsi="Arial" w:cs="Arial"/>
          <w:b/>
          <w:bCs/>
          <w:color w:val="000000"/>
        </w:rPr>
        <w:t>Action: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We must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b/>
          <w:bCs/>
          <w:color w:val="000000"/>
        </w:rPr>
        <w:t xml:space="preserve">record </w:t>
      </w:r>
      <w:r w:rsidRPr="00C50F40">
        <w:rPr>
          <w:rFonts w:ascii="Arial" w:hAnsi="Arial" w:cs="Arial"/>
          <w:color w:val="000000"/>
        </w:rPr>
        <w:t>in PPE and Non-Current Liabilities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as per strict Rules of Accounting.</w:t>
      </w:r>
    </w:p>
    <w:p w14:paraId="5E658595" w14:textId="6480034A" w:rsidR="00C50F40" w:rsidRPr="00C50F40" w:rsidRDefault="00C50F40" w:rsidP="00711132">
      <w:pPr>
        <w:pStyle w:val="ListParagraph"/>
        <w:numPr>
          <w:ilvl w:val="0"/>
          <w:numId w:val="27"/>
        </w:numPr>
        <w:spacing w:line="276" w:lineRule="auto"/>
      </w:pPr>
      <w:r w:rsidRPr="00C50F40">
        <w:rPr>
          <w:rFonts w:ascii="Arial" w:hAnsi="Arial" w:cs="Arial"/>
          <w:b/>
          <w:bCs/>
          <w:color w:val="000000"/>
        </w:rPr>
        <w:t>Specific Adjustment: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Management must recognize that the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$150 Million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figure is needed to reduce the $1 Million placeholder in risk scenarios. This ensures the Balance Sheet is not artificially inflated during regulatory downturns.</w:t>
      </w:r>
    </w:p>
    <w:p w14:paraId="6B786714" w14:textId="77777777" w:rsidR="00F1663D" w:rsidRDefault="00F1663D" w:rsidP="00711132">
      <w:pPr>
        <w:spacing w:line="276" w:lineRule="auto"/>
        <w:rPr>
          <w:rFonts w:ascii="Arial" w:hAnsi="Arial" w:cs="Arial"/>
        </w:rPr>
      </w:pPr>
    </w:p>
    <w:p w14:paraId="29813F6A" w14:textId="354A2B29" w:rsidR="00C50F40" w:rsidRDefault="00374187" w:rsidP="00711132">
      <w:pPr>
        <w:pStyle w:val="Heading1"/>
        <w:spacing w:line="276" w:lineRule="auto"/>
      </w:pPr>
      <w:r>
        <w:t xml:space="preserve"> </w:t>
      </w:r>
      <w:bookmarkStart w:id="9" w:name="_Toc216524894"/>
      <w:r w:rsidR="00C50F40">
        <w:t>Conclusion</w:t>
      </w:r>
      <w:bookmarkEnd w:id="9"/>
    </w:p>
    <w:p w14:paraId="7C147E2E" w14:textId="794C617B" w:rsidR="00C50F40" w:rsidRDefault="00C50F40" w:rsidP="00711132">
      <w:pPr>
        <w:spacing w:line="276" w:lineRule="auto"/>
        <w:rPr>
          <w:rFonts w:ascii="Arial" w:hAnsi="Arial" w:cs="Arial"/>
          <w:color w:val="000000"/>
        </w:rPr>
      </w:pPr>
      <w:r w:rsidRPr="00C50F40">
        <w:rPr>
          <w:rFonts w:ascii="Arial" w:hAnsi="Arial" w:cs="Arial"/>
          <w:color w:val="000000"/>
        </w:rPr>
        <w:t>The corporate risk landscape for Valero is defined not just by market prices, but by the interplay of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Utilization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and</w:t>
      </w:r>
      <w:r w:rsidRPr="00C50F40">
        <w:rPr>
          <w:rStyle w:val="apple-converted-space"/>
          <w:rFonts w:ascii="Arial" w:hAnsi="Arial" w:cs="Arial"/>
          <w:color w:val="000000"/>
        </w:rPr>
        <w:t> </w:t>
      </w:r>
      <w:r w:rsidRPr="00C50F40">
        <w:rPr>
          <w:rFonts w:ascii="Arial" w:hAnsi="Arial" w:cs="Arial"/>
          <w:color w:val="000000"/>
        </w:rPr>
        <w:t>Regulatory Accounting. This Monte Carlo analysis demonstrates that while the Normal financial path is robust ($3.19B Operating Income), the Worst Case carries specific, identifiable risks in the Balance Sheet</w:t>
      </w:r>
      <w:r>
        <w:rPr>
          <w:rFonts w:ascii="Arial" w:hAnsi="Arial" w:cs="Arial"/>
          <w:color w:val="000000"/>
        </w:rPr>
        <w:t xml:space="preserve">, </w:t>
      </w:r>
      <w:r w:rsidRPr="00C50F40">
        <w:rPr>
          <w:rFonts w:ascii="Arial" w:hAnsi="Arial" w:cs="Arial"/>
          <w:color w:val="000000"/>
        </w:rPr>
        <w:t>specifically the $150M ARO liability and the $1B Inventory swing. By implementing the recommendations above, Valero can hedge these specific tail risks.</w:t>
      </w:r>
    </w:p>
    <w:p w14:paraId="3C5D7D84" w14:textId="77777777" w:rsidR="00374187" w:rsidRDefault="00374187" w:rsidP="00711132">
      <w:pPr>
        <w:spacing w:line="276" w:lineRule="auto"/>
        <w:rPr>
          <w:rFonts w:ascii="Arial" w:hAnsi="Arial" w:cs="Arial"/>
          <w:color w:val="000000"/>
        </w:rPr>
      </w:pPr>
    </w:p>
    <w:p w14:paraId="1DE56923" w14:textId="77777777" w:rsidR="00E77DEA" w:rsidRDefault="00E77DEA" w:rsidP="00711132">
      <w:pPr>
        <w:spacing w:line="276" w:lineRule="auto"/>
        <w:rPr>
          <w:rFonts w:ascii="Arial" w:hAnsi="Arial" w:cs="Arial"/>
          <w:color w:val="000000"/>
        </w:rPr>
      </w:pPr>
    </w:p>
    <w:p w14:paraId="7EFE52FE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47725807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2B644344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7034D9CC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7512E7D4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573B9A0F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1576BD24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259E068E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322C79D4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167C7F42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1F6DC3BF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500E831C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4813F0E6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60F613B0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4A6906EC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15583732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5E5FCD13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0C2D1A70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18987E3E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1B59D2DE" w14:textId="77777777" w:rsidR="00711132" w:rsidRDefault="00711132" w:rsidP="00711132">
      <w:pPr>
        <w:spacing w:line="276" w:lineRule="auto"/>
        <w:rPr>
          <w:rFonts w:ascii="Arial" w:hAnsi="Arial" w:cs="Arial"/>
          <w:color w:val="000000"/>
        </w:rPr>
      </w:pPr>
    </w:p>
    <w:p w14:paraId="60FA8BD1" w14:textId="35E9EC38" w:rsidR="00374187" w:rsidRDefault="00374187" w:rsidP="00711132">
      <w:pPr>
        <w:pStyle w:val="Heading1"/>
        <w:spacing w:line="276" w:lineRule="auto"/>
      </w:pPr>
      <w:r>
        <w:t xml:space="preserve"> </w:t>
      </w:r>
      <w:bookmarkStart w:id="10" w:name="_Toc216524895"/>
      <w:r>
        <w:t>Appendix</w:t>
      </w:r>
      <w:bookmarkEnd w:id="10"/>
    </w:p>
    <w:p w14:paraId="66E4774B" w14:textId="0525AC81" w:rsidR="008620A6" w:rsidRDefault="008620A6" w:rsidP="00711132">
      <w:pPr>
        <w:pStyle w:val="Heading2"/>
        <w:spacing w:line="276" w:lineRule="auto"/>
        <w:rPr>
          <w:rStyle w:val="apple-converted-space"/>
        </w:rPr>
      </w:pPr>
      <w:r w:rsidRPr="008620A6">
        <w:t>Appendix A: Operational Risk &amp; Regression Logic</w:t>
      </w:r>
    </w:p>
    <w:p w14:paraId="6420FEED" w14:textId="0E496940" w:rsidR="008620A6" w:rsidRDefault="008620A6" w:rsidP="00711132">
      <w:pPr>
        <w:spacing w:line="276" w:lineRule="auto"/>
        <w:rPr>
          <w:rFonts w:ascii="Arial" w:hAnsi="Arial" w:cs="Arial"/>
          <w:color w:val="000000"/>
        </w:rPr>
      </w:pPr>
      <w:r w:rsidRPr="008620A6">
        <w:rPr>
          <w:rFonts w:ascii="Arial" w:hAnsi="Arial" w:cs="Arial"/>
          <w:color w:val="000000"/>
        </w:rPr>
        <w:t>This section details the statistical relationship between</w:t>
      </w:r>
      <w:r w:rsidRPr="008620A6">
        <w:rPr>
          <w:rStyle w:val="apple-converted-space"/>
          <w:rFonts w:ascii="Arial" w:hAnsi="Arial" w:cs="Arial"/>
          <w:color w:val="000000"/>
        </w:rPr>
        <w:t> </w:t>
      </w:r>
      <w:r w:rsidRPr="008620A6">
        <w:rPr>
          <w:rFonts w:ascii="Arial" w:hAnsi="Arial" w:cs="Arial"/>
          <w:color w:val="000000"/>
        </w:rPr>
        <w:t>Refinery Utilization</w:t>
      </w:r>
      <w:r w:rsidRPr="008620A6">
        <w:rPr>
          <w:rStyle w:val="apple-converted-space"/>
          <w:rFonts w:ascii="Arial" w:hAnsi="Arial" w:cs="Arial"/>
          <w:color w:val="000000"/>
        </w:rPr>
        <w:t> </w:t>
      </w:r>
      <w:r w:rsidRPr="008620A6">
        <w:rPr>
          <w:rFonts w:ascii="Arial" w:hAnsi="Arial" w:cs="Arial"/>
          <w:color w:val="000000"/>
        </w:rPr>
        <w:t>and the Balance Sheet. Unlike standard models that use Percent of Sales, our regression analysis proves that Utilization is the primary driver of working capital variance.</w:t>
      </w:r>
    </w:p>
    <w:p w14:paraId="181EF742" w14:textId="694E6D0C" w:rsidR="008620A6" w:rsidRPr="008620A6" w:rsidRDefault="008620A6" w:rsidP="00711132">
      <w:pPr>
        <w:spacing w:line="276" w:lineRule="auto"/>
        <w:rPr>
          <w:rFonts w:ascii="Arial" w:hAnsi="Arial" w:cs="Arial"/>
          <w:b/>
          <w:bCs/>
          <w:color w:val="000000"/>
        </w:rPr>
      </w:pPr>
      <w:r w:rsidRPr="008620A6">
        <w:rPr>
          <w:rFonts w:ascii="Arial" w:hAnsi="Arial" w:cs="Arial"/>
          <w:b/>
          <w:bCs/>
          <w:color w:val="000000"/>
        </w:rPr>
        <w:t>Table A.1: Utilization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771"/>
        <w:gridCol w:w="5975"/>
      </w:tblGrid>
      <w:tr w:rsidR="008620A6" w:rsidRPr="008620A6" w14:paraId="3246B3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9E039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BAD9F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0681B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8620A6" w:rsidRPr="008620A6" w14:paraId="0E344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AD066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Mean 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9B85D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89.8%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2A36D" w14:textId="18DCE5BA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Historical average efficiency rate (2020-202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).</w:t>
            </w:r>
          </w:p>
        </w:tc>
      </w:tr>
      <w:tr w:rsidR="008620A6" w:rsidRPr="008620A6" w14:paraId="03C35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280E1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Standard Deviation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6E898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5D32E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Represents the volatility risk (operational outages).</w:t>
            </w:r>
          </w:p>
        </w:tc>
      </w:tr>
      <w:tr w:rsidR="008620A6" w:rsidRPr="008620A6" w14:paraId="29C96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8D493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Minimum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005AF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74.0%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6F533" w14:textId="6D65E2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Represents a major turnaround event.</w:t>
            </w:r>
          </w:p>
        </w:tc>
      </w:tr>
      <w:tr w:rsidR="008620A6" w:rsidRPr="008620A6" w14:paraId="4A72A5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5AD7B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Maximum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D18FB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97.0%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43219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Represents peak efficiency during high-margin periods.</w:t>
            </w:r>
          </w:p>
        </w:tc>
      </w:tr>
    </w:tbl>
    <w:p w14:paraId="080D0AAC" w14:textId="77777777" w:rsidR="008620A6" w:rsidRDefault="008620A6" w:rsidP="00711132">
      <w:pPr>
        <w:spacing w:line="276" w:lineRule="auto"/>
        <w:rPr>
          <w:rFonts w:ascii="-webkit-standard" w:hAnsi="-webkit-standard"/>
          <w:b/>
          <w:bCs/>
          <w:color w:val="000000"/>
          <w:sz w:val="27"/>
          <w:szCs w:val="27"/>
        </w:rPr>
      </w:pPr>
    </w:p>
    <w:p w14:paraId="4C8BF1E6" w14:textId="6D524424" w:rsidR="008620A6" w:rsidRPr="008620A6" w:rsidRDefault="008620A6" w:rsidP="00711132">
      <w:pPr>
        <w:spacing w:line="276" w:lineRule="auto"/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8620A6">
        <w:rPr>
          <w:rFonts w:ascii="-webkit-standard" w:hAnsi="-webkit-standard"/>
          <w:b/>
          <w:bCs/>
          <w:color w:val="000000"/>
          <w:sz w:val="27"/>
          <w:szCs w:val="27"/>
        </w:rPr>
        <w:t>Table A.2: Regression Output</w:t>
      </w:r>
    </w:p>
    <w:p w14:paraId="1F7C77D6" w14:textId="156C6367" w:rsidR="008620A6" w:rsidRDefault="008620A6" w:rsidP="00711132">
      <w:pPr>
        <w:spacing w:line="276" w:lineRule="auto"/>
        <w:rPr>
          <w:rFonts w:ascii="Arial" w:hAnsi="Arial" w:cs="Arial"/>
          <w:color w:val="000000"/>
        </w:rPr>
      </w:pPr>
      <w:r w:rsidRPr="008620A6">
        <w:rPr>
          <w:rFonts w:ascii="Arial" w:hAnsi="Arial" w:cs="Arial"/>
          <w:color w:val="000000"/>
        </w:rPr>
        <w:t>The simulation calculates liquidity impact using the linear regression formula</w:t>
      </w:r>
      <w:r w:rsidRPr="008620A6">
        <w:rPr>
          <w:rStyle w:val="apple-converted-space"/>
          <w:rFonts w:ascii="Arial" w:hAnsi="Arial" w:cs="Arial"/>
          <w:color w:val="000000"/>
        </w:rPr>
        <w:t> </w:t>
      </w:r>
      <w:r w:rsidRPr="008620A6">
        <w:rPr>
          <w:rFonts w:ascii="Arial" w:hAnsi="Arial" w:cs="Arial"/>
          <w:color w:val="000000"/>
        </w:rPr>
        <w:t>derived from historical quarterly data (2020-202</w:t>
      </w:r>
      <w:r>
        <w:rPr>
          <w:rFonts w:ascii="Arial" w:hAnsi="Arial" w:cs="Arial"/>
          <w:color w:val="000000"/>
        </w:rPr>
        <w:t>5</w:t>
      </w:r>
      <w:r w:rsidRPr="008620A6">
        <w:rPr>
          <w:rFonts w:ascii="Arial" w:hAnsi="Arial" w:cs="Arial"/>
          <w:color w:val="000000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66"/>
        <w:gridCol w:w="1276"/>
        <w:gridCol w:w="1427"/>
        <w:gridCol w:w="4756"/>
      </w:tblGrid>
      <w:tr w:rsidR="008620A6" w:rsidRPr="008620A6" w14:paraId="3757FB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61F85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Target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3F80D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Slope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FD02F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Intercept (c)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25D29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R-Squared (R2)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CCFAD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8620A6" w:rsidRPr="008620A6" w14:paraId="22DCC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F03E5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537C5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108,808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9304B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-70,140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EA223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EF0E9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71% of Variable Cost variance is driven purely by utilization rates.</w:t>
            </w:r>
          </w:p>
        </w:tc>
      </w:tr>
      <w:tr w:rsidR="008620A6" w:rsidRPr="008620A6" w14:paraId="534B0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8BAC6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Accounts Payable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203EB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36,242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CF482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-21,532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D0A86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994B8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Supplier credit contracts significantly during low utilization, consuming cash.</w:t>
            </w:r>
          </w:p>
        </w:tc>
      </w:tr>
      <w:tr w:rsidR="008620A6" w:rsidRPr="008620A6" w14:paraId="40A5E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B602F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58D04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7,938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FB729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263A1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4F91E" w14:textId="4C95445C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Low utilization causes inventory bloat (unprocessed crude)</w:t>
            </w:r>
          </w:p>
        </w:tc>
      </w:tr>
    </w:tbl>
    <w:p w14:paraId="6135DADF" w14:textId="77777777" w:rsidR="008620A6" w:rsidRDefault="008620A6" w:rsidP="00711132">
      <w:pPr>
        <w:spacing w:line="276" w:lineRule="auto"/>
        <w:rPr>
          <w:rFonts w:ascii="Arial" w:hAnsi="Arial" w:cs="Arial"/>
        </w:rPr>
      </w:pPr>
    </w:p>
    <w:p w14:paraId="411845E8" w14:textId="69841E41" w:rsidR="008620A6" w:rsidRDefault="008620A6" w:rsidP="00711132">
      <w:pPr>
        <w:pStyle w:val="Heading2"/>
        <w:spacing w:line="276" w:lineRule="auto"/>
      </w:pPr>
      <w:r w:rsidRPr="008620A6">
        <w:t>Appendix B: Regulatory Risk Parameters</w:t>
      </w:r>
    </w:p>
    <w:p w14:paraId="7EB5AF51" w14:textId="766E34AD" w:rsidR="008620A6" w:rsidRDefault="008620A6" w:rsidP="00711132">
      <w:pPr>
        <w:spacing w:line="276" w:lineRule="auto"/>
        <w:rPr>
          <w:rFonts w:ascii="Arial" w:hAnsi="Arial" w:cs="Arial"/>
          <w:color w:val="000000"/>
        </w:rPr>
      </w:pPr>
      <w:r w:rsidRPr="008620A6">
        <w:rPr>
          <w:rFonts w:ascii="Arial" w:hAnsi="Arial" w:cs="Arial"/>
          <w:color w:val="000000"/>
        </w:rPr>
        <w:t>Regulatory risk is modeled using specific Compliance Cost logic rather than simple expense lines. This accounts for the complexity of RINs (Renewable Identification Numbers) and Carbon Credits.</w:t>
      </w:r>
    </w:p>
    <w:p w14:paraId="2B7D9D27" w14:textId="2BB9FD32" w:rsidR="008620A6" w:rsidRPr="008620A6" w:rsidRDefault="008620A6" w:rsidP="00711132">
      <w:pPr>
        <w:spacing w:line="276" w:lineRule="auto"/>
        <w:rPr>
          <w:rFonts w:ascii="Arial" w:hAnsi="Arial" w:cs="Arial"/>
          <w:color w:val="000000"/>
        </w:rPr>
      </w:pPr>
      <w:r w:rsidRPr="008620A6">
        <w:rPr>
          <w:rFonts w:ascii="Arial" w:hAnsi="Arial" w:cs="Arial"/>
          <w:color w:val="000000"/>
        </w:rPr>
        <w:t>Table B.1: Stochastic Regulatory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025"/>
        <w:gridCol w:w="2016"/>
        <w:gridCol w:w="5900"/>
      </w:tblGrid>
      <w:tr w:rsidR="008620A6" w:rsidRPr="008620A6" w14:paraId="0F0E3F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D54D6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Risk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C80AB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Mean (μ)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0DB51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Standard Deviation (σ)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A78EF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Simulation Sensitivity</w:t>
            </w:r>
          </w:p>
        </w:tc>
      </w:tr>
      <w:tr w:rsidR="008620A6" w:rsidRPr="008620A6" w14:paraId="387F3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02A7A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RIN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A449D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$1.11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72104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$0.46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A522C" w14:textId="55156E75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High. Standard deviation is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Approx </w:t>
            </w: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42% of the mean, indicating extreme volatility.</w:t>
            </w:r>
          </w:p>
        </w:tc>
      </w:tr>
      <w:tr w:rsidR="008620A6" w:rsidRPr="008620A6" w14:paraId="3368A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0CEB8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LCFS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7138E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$116.88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5F699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$61.17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2050E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Medium. Modeled with a wide variance to capture California regulatory uncertainty.</w:t>
            </w:r>
          </w:p>
        </w:tc>
      </w:tr>
    </w:tbl>
    <w:p w14:paraId="34F40E1A" w14:textId="77777777" w:rsidR="00374187" w:rsidRDefault="00374187" w:rsidP="00711132">
      <w:pPr>
        <w:spacing w:line="276" w:lineRule="auto"/>
      </w:pPr>
    </w:p>
    <w:p w14:paraId="2B70C5DB" w14:textId="744B54B9" w:rsidR="008620A6" w:rsidRPr="008620A6" w:rsidRDefault="008620A6" w:rsidP="00711132">
      <w:pPr>
        <w:spacing w:line="276" w:lineRule="auto"/>
        <w:rPr>
          <w:rFonts w:ascii="Arial" w:hAnsi="Arial" w:cs="Arial"/>
          <w:color w:val="000000"/>
        </w:rPr>
      </w:pPr>
      <w:r w:rsidRPr="008620A6">
        <w:rPr>
          <w:rFonts w:ascii="Arial" w:hAnsi="Arial" w:cs="Arial"/>
          <w:color w:val="000000"/>
        </w:rPr>
        <w:t>Table B.2: Compliance Cost Formula</w:t>
      </w:r>
    </w:p>
    <w:p w14:paraId="53346C81" w14:textId="0F4BD0DD" w:rsidR="008620A6" w:rsidRDefault="008620A6" w:rsidP="00711132">
      <w:pPr>
        <w:spacing w:line="276" w:lineRule="auto"/>
        <w:rPr>
          <w:rFonts w:ascii="Arial" w:hAnsi="Arial" w:cs="Arial"/>
          <w:color w:val="000000"/>
        </w:rPr>
      </w:pPr>
      <w:r w:rsidRPr="008620A6">
        <w:rPr>
          <w:rFonts w:ascii="Arial" w:hAnsi="Arial" w:cs="Arial"/>
          <w:color w:val="000000"/>
        </w:rPr>
        <w:t>To calculate the net financial impact, the model applies offsets and pass-through assumptions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838"/>
        <w:gridCol w:w="6524"/>
      </w:tblGrid>
      <w:tr w:rsidR="008620A6" w:rsidRPr="008620A6" w14:paraId="3FFA3842" w14:textId="77777777" w:rsidTr="00613BB6">
        <w:trPr>
          <w:tblHeader/>
          <w:tblCellSpacing w:w="15" w:type="dxa"/>
        </w:trPr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C8650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Parameter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97BFD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Value</w:t>
            </w:r>
          </w:p>
        </w:tc>
        <w:tc>
          <w:tcPr>
            <w:tcW w:w="6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652FB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8620A6" w:rsidRPr="008620A6" w14:paraId="380A606D" w14:textId="77777777" w:rsidTr="00613BB6">
        <w:trPr>
          <w:tblCellSpacing w:w="15" w:type="dxa"/>
        </w:trPr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D03FB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Gross Compliance Exposure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EA361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9,500,000Credits</w:t>
            </w:r>
          </w:p>
        </w:tc>
        <w:tc>
          <w:tcPr>
            <w:tcW w:w="6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E88FE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Total annual RIN/Carbon credit obligation based on production volume.</w:t>
            </w:r>
          </w:p>
        </w:tc>
      </w:tr>
      <w:tr w:rsidR="008620A6" w:rsidRPr="008620A6" w14:paraId="03EBBE5B" w14:textId="77777777" w:rsidTr="00613BB6">
        <w:trPr>
          <w:tblCellSpacing w:w="15" w:type="dxa"/>
        </w:trPr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1FB83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Internal Offset %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A6FC3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45%</w:t>
            </w:r>
          </w:p>
        </w:tc>
        <w:tc>
          <w:tcPr>
            <w:tcW w:w="6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E54E5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portion of credits Valero generates internally (reducing the need to buy on open market).</w:t>
            </w:r>
          </w:p>
        </w:tc>
      </w:tr>
      <w:tr w:rsidR="008620A6" w:rsidRPr="008620A6" w14:paraId="594C9F4A" w14:textId="77777777" w:rsidTr="00613BB6">
        <w:trPr>
          <w:tblCellSpacing w:w="15" w:type="dxa"/>
        </w:trPr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26D2C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Net Market Exposure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2E8BB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5,225,000Credits</w:t>
            </w:r>
          </w:p>
        </w:tc>
        <w:tc>
          <w:tcPr>
            <w:tcW w:w="6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72D2B" w14:textId="7BF276AB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actual volume of credits Valero must purchase annually ($9.5M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* </w:t>
            </w: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(1 - 45%)).</w:t>
            </w:r>
          </w:p>
        </w:tc>
      </w:tr>
      <w:tr w:rsidR="008620A6" w:rsidRPr="008620A6" w14:paraId="6E780092" w14:textId="77777777" w:rsidTr="00613BB6">
        <w:trPr>
          <w:tblCellSpacing w:w="15" w:type="dxa"/>
        </w:trPr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7BD76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Cost Pass-Through %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C4111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30%</w:t>
            </w:r>
          </w:p>
        </w:tc>
        <w:tc>
          <w:tcPr>
            <w:tcW w:w="6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903EA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percentage of the compliance cost that is successfully passed on to the consumer at the pump.</w:t>
            </w:r>
          </w:p>
        </w:tc>
      </w:tr>
      <w:tr w:rsidR="008620A6" w:rsidRPr="008620A6" w14:paraId="16443C7B" w14:textId="77777777" w:rsidTr="00613BB6">
        <w:trPr>
          <w:tblCellSpacing w:w="15" w:type="dxa"/>
        </w:trPr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AD5B5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Net Impact Formula</w:t>
            </w:r>
          </w:p>
        </w:tc>
        <w:tc>
          <w:tcPr>
            <w:tcW w:w="1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52D2F" w14:textId="77777777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See Below</w:t>
            </w:r>
          </w:p>
        </w:tc>
        <w:tc>
          <w:tcPr>
            <w:tcW w:w="6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35943" w14:textId="760FDEDA" w:rsidR="008620A6" w:rsidRPr="008620A6" w:rsidRDefault="008620A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Cost = (Exposure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* </w:t>
            </w: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Price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*</w:t>
            </w:r>
            <w:r w:rsidRPr="008620A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(1 - Offset)) - (Passthrough)</w:t>
            </w:r>
          </w:p>
        </w:tc>
      </w:tr>
    </w:tbl>
    <w:p w14:paraId="3882CE7F" w14:textId="77777777" w:rsidR="008620A6" w:rsidRDefault="008620A6" w:rsidP="00711132">
      <w:pPr>
        <w:spacing w:line="276" w:lineRule="auto"/>
        <w:rPr>
          <w:rFonts w:ascii="Arial" w:hAnsi="Arial" w:cs="Arial"/>
        </w:rPr>
      </w:pPr>
    </w:p>
    <w:p w14:paraId="4A39908C" w14:textId="176F3358" w:rsidR="00613BB6" w:rsidRDefault="00613BB6" w:rsidP="00711132">
      <w:pPr>
        <w:pStyle w:val="Heading2"/>
        <w:spacing w:line="276" w:lineRule="auto"/>
        <w:rPr>
          <w:rStyle w:val="apple-converted-space"/>
        </w:rPr>
      </w:pPr>
      <w:r w:rsidRPr="00613BB6">
        <w:lastRenderedPageBreak/>
        <w:t>Appendix C: Baseline Operational Assumptions</w:t>
      </w:r>
    </w:p>
    <w:p w14:paraId="5B12DC35" w14:textId="4401348A" w:rsidR="00613BB6" w:rsidRDefault="00613BB6" w:rsidP="00711132">
      <w:pPr>
        <w:spacing w:line="276" w:lineRule="auto"/>
        <w:rPr>
          <w:rFonts w:ascii="Arial" w:hAnsi="Arial" w:cs="Arial"/>
          <w:color w:val="000000"/>
        </w:rPr>
      </w:pPr>
      <w:r w:rsidRPr="00613BB6">
        <w:rPr>
          <w:rFonts w:ascii="Arial" w:hAnsi="Arial" w:cs="Arial"/>
          <w:color w:val="000000"/>
        </w:rPr>
        <w:t>While prices and utilization are stochastic (random), the model anchors on fixed operational capacities derived from the</w:t>
      </w:r>
      <w:r w:rsidRPr="00613BB6">
        <w:rPr>
          <w:rStyle w:val="apple-converted-space"/>
          <w:rFonts w:ascii="Arial" w:hAnsi="Arial" w:cs="Arial"/>
          <w:color w:val="000000"/>
        </w:rPr>
        <w:t> </w:t>
      </w:r>
      <w:r w:rsidRPr="00613BB6">
        <w:rPr>
          <w:rStyle w:val="HTMLCode"/>
          <w:rFonts w:ascii="Arial" w:eastAsiaTheme="majorEastAsia" w:hAnsi="Arial" w:cs="Arial"/>
          <w:color w:val="000000"/>
          <w:sz w:val="24"/>
          <w:szCs w:val="24"/>
        </w:rPr>
        <w:t>Market risk</w:t>
      </w:r>
      <w:r w:rsidRPr="00613BB6">
        <w:rPr>
          <w:rFonts w:ascii="Arial" w:hAnsi="Arial" w:cs="Arial"/>
          <w:color w:val="000000"/>
        </w:rPr>
        <w:t xml:space="preserve"> dataset.</w:t>
      </w:r>
    </w:p>
    <w:p w14:paraId="0771E218" w14:textId="463B2FE6" w:rsidR="00613BB6" w:rsidRDefault="00613BB6" w:rsidP="00711132">
      <w:pPr>
        <w:spacing w:line="276" w:lineRule="auto"/>
        <w:rPr>
          <w:rFonts w:ascii="Arial" w:hAnsi="Arial" w:cs="Arial"/>
          <w:color w:val="000000"/>
        </w:rPr>
      </w:pPr>
      <w:r w:rsidRPr="00613BB6">
        <w:rPr>
          <w:rFonts w:ascii="Arial" w:hAnsi="Arial" w:cs="Arial"/>
          <w:color w:val="000000"/>
        </w:rPr>
        <w:t xml:space="preserve">Table </w:t>
      </w:r>
      <w:r>
        <w:rPr>
          <w:rFonts w:ascii="Arial" w:hAnsi="Arial" w:cs="Arial"/>
          <w:color w:val="000000"/>
        </w:rPr>
        <w:t>C</w:t>
      </w:r>
      <w:r w:rsidRPr="00613BB6">
        <w:rPr>
          <w:rFonts w:ascii="Arial" w:hAnsi="Arial" w:cs="Arial"/>
          <w:color w:val="000000"/>
        </w:rPr>
        <w:t>.1: Fixed Capacity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825"/>
        <w:gridCol w:w="3653"/>
      </w:tblGrid>
      <w:tr w:rsidR="00613BB6" w:rsidRPr="00613BB6" w14:paraId="1D45A5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10EFA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Operational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856DA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8AE5A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Unit</w:t>
            </w:r>
          </w:p>
        </w:tc>
      </w:tr>
      <w:tr w:rsidR="00613BB6" w:rsidRPr="00613BB6" w14:paraId="5BC0FE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02A1F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Refining Throughput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C9ACF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2,922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BF634" w14:textId="1B8558C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BPD (Thousand Barrels Per Day)</w:t>
            </w:r>
          </w:p>
        </w:tc>
      </w:tr>
      <w:tr w:rsidR="00613BB6" w:rsidRPr="00613BB6" w14:paraId="602E4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6195E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Renewable Diesel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7EF42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2,732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29517" w14:textId="00E7AA84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BPD</w:t>
            </w:r>
          </w:p>
        </w:tc>
      </w:tr>
      <w:tr w:rsidR="00613BB6" w:rsidRPr="00613BB6" w14:paraId="5EFB4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F21BD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Ethanol 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E333E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4,583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09470" w14:textId="5C3C3A83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BPD</w:t>
            </w:r>
          </w:p>
        </w:tc>
      </w:tr>
      <w:tr w:rsidR="00613BB6" w:rsidRPr="00613BB6" w14:paraId="047CE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72F59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Refining </w:t>
            </w:r>
            <w:proofErr w:type="spellStart"/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OpEx</w:t>
            </w:r>
            <w:proofErr w:type="spellEnd"/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(Fixed)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05E5F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$1,307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131B6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Millions (Annual)</w:t>
            </w:r>
          </w:p>
        </w:tc>
      </w:tr>
      <w:tr w:rsidR="00613BB6" w:rsidRPr="00613BB6" w14:paraId="0AE5C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2A510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Refining D&amp;A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33C90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$707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753C7" w14:textId="77777777" w:rsidR="00613BB6" w:rsidRPr="00613BB6" w:rsidRDefault="00613BB6" w:rsidP="00711132">
            <w:pPr>
              <w:spacing w:after="0" w:line="276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613BB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Millions (Annual)</w:t>
            </w:r>
          </w:p>
        </w:tc>
      </w:tr>
    </w:tbl>
    <w:p w14:paraId="65EB05FA" w14:textId="77777777" w:rsidR="00613BB6" w:rsidRDefault="00613BB6" w:rsidP="00711132">
      <w:pPr>
        <w:spacing w:line="276" w:lineRule="auto"/>
        <w:rPr>
          <w:rFonts w:ascii="Arial" w:hAnsi="Arial" w:cs="Arial"/>
        </w:rPr>
      </w:pPr>
    </w:p>
    <w:p w14:paraId="1A2523E9" w14:textId="0EEF0C4F" w:rsidR="00613BB6" w:rsidRDefault="00613BB6" w:rsidP="00711132">
      <w:pPr>
        <w:pStyle w:val="Heading2"/>
        <w:spacing w:line="276" w:lineRule="auto"/>
      </w:pPr>
      <w:r>
        <w:t xml:space="preserve">Appendix </w:t>
      </w:r>
      <w:r w:rsidR="00554FC5">
        <w:t>C</w:t>
      </w:r>
      <w:r>
        <w:t>: Glossary of Terms</w:t>
      </w:r>
    </w:p>
    <w:p w14:paraId="0D549766" w14:textId="21AEC761" w:rsidR="00613BB6" w:rsidRPr="00613BB6" w:rsidRDefault="00613BB6" w:rsidP="00711132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613BB6">
        <w:rPr>
          <w:rFonts w:ascii="Arial" w:hAnsi="Arial" w:cs="Arial"/>
          <w:b/>
          <w:bCs/>
          <w:color w:val="000000"/>
        </w:rPr>
        <w:t>ARO (Asset Retirement Obligation):</w:t>
      </w:r>
      <w:r w:rsidRPr="00613BB6">
        <w:rPr>
          <w:rStyle w:val="apple-converted-space"/>
          <w:rFonts w:ascii="Arial" w:hAnsi="Arial" w:cs="Arial"/>
          <w:color w:val="000000"/>
        </w:rPr>
        <w:t> </w:t>
      </w:r>
      <w:r w:rsidRPr="00613BB6">
        <w:rPr>
          <w:rFonts w:ascii="Arial" w:hAnsi="Arial" w:cs="Arial"/>
          <w:color w:val="000000"/>
        </w:rPr>
        <w:t>A liability recognized when the cost to retire an asset is legally required and measurable. In this model, it is triggered by low RIN prices.</w:t>
      </w:r>
    </w:p>
    <w:p w14:paraId="54F6B80B" w14:textId="6540BA22" w:rsidR="00613BB6" w:rsidRPr="00613BB6" w:rsidRDefault="00613BB6" w:rsidP="00711132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613BB6">
        <w:rPr>
          <w:rFonts w:ascii="Arial" w:hAnsi="Arial" w:cs="Arial"/>
          <w:b/>
          <w:bCs/>
          <w:color w:val="000000"/>
        </w:rPr>
        <w:t>LCFS (Low Carbon Fuel Standard):</w:t>
      </w:r>
      <w:r w:rsidRPr="00613BB6">
        <w:rPr>
          <w:rStyle w:val="apple-converted-space"/>
          <w:rFonts w:ascii="Arial" w:hAnsi="Arial" w:cs="Arial"/>
          <w:color w:val="000000"/>
        </w:rPr>
        <w:t> </w:t>
      </w:r>
      <w:r w:rsidRPr="00613BB6">
        <w:rPr>
          <w:rFonts w:ascii="Arial" w:hAnsi="Arial" w:cs="Arial"/>
          <w:color w:val="000000"/>
        </w:rPr>
        <w:t>A California state regulation requiring a reduction in the carbon intensity of transportation fuels.</w:t>
      </w:r>
    </w:p>
    <w:p w14:paraId="6F5875A2" w14:textId="23C47B8A" w:rsidR="00613BB6" w:rsidRPr="00613BB6" w:rsidRDefault="00613BB6" w:rsidP="00711132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613BB6">
        <w:rPr>
          <w:rFonts w:ascii="Arial" w:hAnsi="Arial" w:cs="Arial"/>
          <w:b/>
          <w:bCs/>
          <w:color w:val="000000"/>
        </w:rPr>
        <w:t>Pass-Through %:</w:t>
      </w:r>
      <w:r w:rsidRPr="00613BB6">
        <w:rPr>
          <w:rStyle w:val="apple-converted-space"/>
          <w:rFonts w:ascii="Arial" w:hAnsi="Arial" w:cs="Arial"/>
          <w:color w:val="000000"/>
        </w:rPr>
        <w:t> </w:t>
      </w:r>
      <w:r w:rsidRPr="00613BB6">
        <w:rPr>
          <w:rFonts w:ascii="Arial" w:hAnsi="Arial" w:cs="Arial"/>
          <w:color w:val="000000"/>
        </w:rPr>
        <w:t>The percentage of regulatory compliance costs that can be added to the final fuel price paid by the consumer.</w:t>
      </w:r>
    </w:p>
    <w:p w14:paraId="4E4AFABD" w14:textId="47724892" w:rsidR="00613BB6" w:rsidRPr="00613BB6" w:rsidRDefault="00613BB6" w:rsidP="00711132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613BB6">
        <w:rPr>
          <w:rFonts w:ascii="Arial" w:hAnsi="Arial" w:cs="Arial"/>
          <w:b/>
          <w:bCs/>
          <w:color w:val="000000"/>
        </w:rPr>
        <w:t>Regression Analysis:</w:t>
      </w:r>
      <w:r w:rsidRPr="00613BB6">
        <w:rPr>
          <w:rStyle w:val="apple-converted-space"/>
          <w:rFonts w:ascii="Arial" w:hAnsi="Arial" w:cs="Arial"/>
          <w:color w:val="000000"/>
        </w:rPr>
        <w:t> </w:t>
      </w:r>
      <w:r w:rsidRPr="00613BB6">
        <w:rPr>
          <w:rFonts w:ascii="Arial" w:hAnsi="Arial" w:cs="Arial"/>
          <w:color w:val="000000"/>
        </w:rPr>
        <w:t>A statistical method used here to determine the strength of the relationship between Refinery Utilization (Independent Variable) and Inventory Levels (Dependent Variable).</w:t>
      </w:r>
    </w:p>
    <w:p w14:paraId="6B6D1496" w14:textId="31508ACD" w:rsidR="007452A5" w:rsidRPr="00554FC5" w:rsidRDefault="00613BB6" w:rsidP="00711132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613BB6">
        <w:rPr>
          <w:rFonts w:ascii="Arial" w:hAnsi="Arial" w:cs="Arial"/>
          <w:b/>
          <w:bCs/>
          <w:color w:val="000000"/>
        </w:rPr>
        <w:t>Stochastic Simulation:</w:t>
      </w:r>
      <w:r w:rsidRPr="00613BB6">
        <w:rPr>
          <w:rStyle w:val="apple-converted-space"/>
          <w:rFonts w:ascii="Arial" w:hAnsi="Arial" w:cs="Arial"/>
          <w:color w:val="000000"/>
        </w:rPr>
        <w:t> </w:t>
      </w:r>
      <w:r w:rsidRPr="00613BB6">
        <w:rPr>
          <w:rFonts w:ascii="Arial" w:hAnsi="Arial" w:cs="Arial"/>
          <w:color w:val="000000"/>
        </w:rPr>
        <w:t>A modeling technique that runs thousands of iterations (5,000 in this report) using random variables to predict probability distributions rather than single-point estimates.</w:t>
      </w:r>
    </w:p>
    <w:p w14:paraId="692F55C2" w14:textId="4670889A" w:rsidR="00554FC5" w:rsidRPr="00554FC5" w:rsidRDefault="00554FC5" w:rsidP="00554FC5">
      <w:pPr>
        <w:pStyle w:val="Heading2"/>
      </w:pPr>
      <w:r w:rsidRPr="00554FC5">
        <w:t>Appendix D: Data References</w:t>
      </w:r>
    </w:p>
    <w:p w14:paraId="66070039" w14:textId="0F014856" w:rsidR="00554FC5" w:rsidRPr="00272750" w:rsidRDefault="00554FC5" w:rsidP="00554FC5">
      <w:pPr>
        <w:rPr>
          <w:rFonts w:ascii="Arial" w:hAnsi="Arial" w:cs="Arial"/>
          <w:color w:val="000000"/>
        </w:rPr>
      </w:pPr>
      <w:r w:rsidRPr="00272750">
        <w:rPr>
          <w:rFonts w:ascii="Arial" w:hAnsi="Arial" w:cs="Arial"/>
          <w:color w:val="000000"/>
        </w:rPr>
        <w:t>The following external sources were utilized to baseline the financials and calibrate the risk simulation parameters:</w:t>
      </w:r>
    </w:p>
    <w:p w14:paraId="4E23BE64" w14:textId="675BAC76" w:rsidR="00554FC5" w:rsidRPr="00272750" w:rsidRDefault="00554FC5" w:rsidP="00554FC5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272750">
        <w:rPr>
          <w:rFonts w:ascii="Arial" w:hAnsi="Arial" w:cs="Arial"/>
          <w:color w:val="000000"/>
        </w:rPr>
        <w:t>S&amp;P Capital IQ</w:t>
      </w:r>
    </w:p>
    <w:p w14:paraId="5863F05D" w14:textId="79A6CC87" w:rsidR="00554FC5" w:rsidRPr="00272750" w:rsidRDefault="00554FC5" w:rsidP="00554FC5">
      <w:pPr>
        <w:pStyle w:val="ListParagraph"/>
        <w:numPr>
          <w:ilvl w:val="1"/>
          <w:numId w:val="32"/>
        </w:numPr>
        <w:rPr>
          <w:rFonts w:ascii="Arial" w:hAnsi="Arial" w:cs="Arial"/>
        </w:rPr>
      </w:pPr>
      <w:r w:rsidRPr="00272750">
        <w:rPr>
          <w:rFonts w:ascii="Arial" w:hAnsi="Arial" w:cs="Arial"/>
          <w:color w:val="000000"/>
        </w:rPr>
        <w:t>Historical Balance Sheet (2020-2024) and Income Statement data.</w:t>
      </w:r>
    </w:p>
    <w:p w14:paraId="2D30B3F2" w14:textId="30486931" w:rsidR="00554FC5" w:rsidRPr="00272750" w:rsidRDefault="00554FC5" w:rsidP="00554FC5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272750">
        <w:rPr>
          <w:rFonts w:ascii="Arial" w:hAnsi="Arial" w:cs="Arial"/>
          <w:color w:val="000000"/>
        </w:rPr>
        <w:t>Valero Energy Corp (VLO) – Quarterly Earnings Transcripts (Q1 2020 – Q2 2025)</w:t>
      </w:r>
    </w:p>
    <w:p w14:paraId="232CA544" w14:textId="33EC414B" w:rsidR="00554FC5" w:rsidRPr="00272750" w:rsidRDefault="00554FC5" w:rsidP="00554FC5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272750">
        <w:rPr>
          <w:rFonts w:ascii="Arial" w:hAnsi="Arial" w:cs="Arial"/>
          <w:color w:val="000000"/>
        </w:rPr>
        <w:t>U.S. Energy Information Administration (EIA)</w:t>
      </w:r>
    </w:p>
    <w:sectPr w:rsidR="00554FC5" w:rsidRPr="00272750" w:rsidSect="00711132">
      <w:pgSz w:w="12240" w:h="15840"/>
      <w:pgMar w:top="1440" w:right="1080" w:bottom="1440" w:left="108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85E"/>
    <w:multiLevelType w:val="multilevel"/>
    <w:tmpl w:val="4C6672E2"/>
    <w:lvl w:ilvl="0">
      <w:start w:val="1"/>
      <w:numFmt w:val="decimal"/>
      <w:lvlText w:val="%1"/>
      <w:lvlJc w:val="left"/>
      <w:pPr>
        <w:ind w:left="432" w:hanging="432"/>
      </w:pPr>
      <w:rPr>
        <w:color w:val="156082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color w:val="156082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5B2CD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95E7CC8"/>
    <w:multiLevelType w:val="hybridMultilevel"/>
    <w:tmpl w:val="B5983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C2BA7"/>
    <w:multiLevelType w:val="hybridMultilevel"/>
    <w:tmpl w:val="BEF8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72EFC"/>
    <w:multiLevelType w:val="hybridMultilevel"/>
    <w:tmpl w:val="50DEA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645498"/>
    <w:multiLevelType w:val="multilevel"/>
    <w:tmpl w:val="FE4EB6B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color w:val="156082" w:themeColor="accen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3ED3861"/>
    <w:multiLevelType w:val="hybridMultilevel"/>
    <w:tmpl w:val="34424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E69E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C4682B"/>
    <w:multiLevelType w:val="hybridMultilevel"/>
    <w:tmpl w:val="FF843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06370"/>
    <w:multiLevelType w:val="hybridMultilevel"/>
    <w:tmpl w:val="2BEA23D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3E40596D"/>
    <w:multiLevelType w:val="hybridMultilevel"/>
    <w:tmpl w:val="04547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24C83"/>
    <w:multiLevelType w:val="hybridMultilevel"/>
    <w:tmpl w:val="19509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6528C"/>
    <w:multiLevelType w:val="hybridMultilevel"/>
    <w:tmpl w:val="2E527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04BA9"/>
    <w:multiLevelType w:val="multilevel"/>
    <w:tmpl w:val="BE9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21641"/>
    <w:multiLevelType w:val="hybridMultilevel"/>
    <w:tmpl w:val="E85CB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8F4E90"/>
    <w:multiLevelType w:val="hybridMultilevel"/>
    <w:tmpl w:val="B4884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76044"/>
    <w:multiLevelType w:val="hybridMultilevel"/>
    <w:tmpl w:val="CACC7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023173"/>
    <w:multiLevelType w:val="hybridMultilevel"/>
    <w:tmpl w:val="E4EE0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223D26"/>
    <w:multiLevelType w:val="hybridMultilevel"/>
    <w:tmpl w:val="24E23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B84A6E"/>
    <w:multiLevelType w:val="hybridMultilevel"/>
    <w:tmpl w:val="4864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942EC3"/>
    <w:multiLevelType w:val="multilevel"/>
    <w:tmpl w:val="B792FD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79E75A8"/>
    <w:multiLevelType w:val="hybridMultilevel"/>
    <w:tmpl w:val="12B63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DF4E02"/>
    <w:multiLevelType w:val="multilevel"/>
    <w:tmpl w:val="1826F302"/>
    <w:lvl w:ilvl="0">
      <w:start w:val="1"/>
      <w:numFmt w:val="decimal"/>
      <w:lvlText w:val="%1"/>
      <w:lvlJc w:val="left"/>
      <w:pPr>
        <w:ind w:left="432" w:hanging="432"/>
      </w:pPr>
      <w:rPr>
        <w:color w:val="156082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color w:val="156082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6D970F87"/>
    <w:multiLevelType w:val="hybridMultilevel"/>
    <w:tmpl w:val="D1FC401E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6E324354"/>
    <w:multiLevelType w:val="hybridMultilevel"/>
    <w:tmpl w:val="6D58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AC107E"/>
    <w:multiLevelType w:val="hybridMultilevel"/>
    <w:tmpl w:val="B58098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40A7D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5993E88"/>
    <w:multiLevelType w:val="multilevel"/>
    <w:tmpl w:val="506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F178B"/>
    <w:multiLevelType w:val="hybridMultilevel"/>
    <w:tmpl w:val="E0A0E42C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77EC5C7E"/>
    <w:multiLevelType w:val="multilevel"/>
    <w:tmpl w:val="4ED4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0B34BE"/>
    <w:multiLevelType w:val="hybridMultilevel"/>
    <w:tmpl w:val="35DEF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595579">
    <w:abstractNumId w:val="9"/>
  </w:num>
  <w:num w:numId="2" w16cid:durableId="667054817">
    <w:abstractNumId w:val="17"/>
  </w:num>
  <w:num w:numId="3" w16cid:durableId="1045910529">
    <w:abstractNumId w:val="20"/>
  </w:num>
  <w:num w:numId="4" w16cid:durableId="496190205">
    <w:abstractNumId w:val="4"/>
  </w:num>
  <w:num w:numId="5" w16cid:durableId="293291001">
    <w:abstractNumId w:val="25"/>
  </w:num>
  <w:num w:numId="6" w16cid:durableId="605500465">
    <w:abstractNumId w:val="23"/>
  </w:num>
  <w:num w:numId="7" w16cid:durableId="147981091">
    <w:abstractNumId w:val="28"/>
  </w:num>
  <w:num w:numId="8" w16cid:durableId="1577937908">
    <w:abstractNumId w:val="7"/>
  </w:num>
  <w:num w:numId="9" w16cid:durableId="849954773">
    <w:abstractNumId w:val="26"/>
  </w:num>
  <w:num w:numId="10" w16cid:durableId="1939481604">
    <w:abstractNumId w:val="22"/>
  </w:num>
  <w:num w:numId="11" w16cid:durableId="634607043">
    <w:abstractNumId w:val="29"/>
  </w:num>
  <w:num w:numId="12" w16cid:durableId="1171412677">
    <w:abstractNumId w:val="0"/>
  </w:num>
  <w:num w:numId="13" w16cid:durableId="263660710">
    <w:abstractNumId w:val="5"/>
  </w:num>
  <w:num w:numId="14" w16cid:durableId="1094210796">
    <w:abstractNumId w:val="8"/>
  </w:num>
  <w:num w:numId="15" w16cid:durableId="1308316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67162712">
    <w:abstractNumId w:val="1"/>
  </w:num>
  <w:num w:numId="17" w16cid:durableId="1647465256">
    <w:abstractNumId w:val="19"/>
  </w:num>
  <w:num w:numId="18" w16cid:durableId="131679264">
    <w:abstractNumId w:val="15"/>
  </w:num>
  <w:num w:numId="19" w16cid:durableId="2004578735">
    <w:abstractNumId w:val="2"/>
  </w:num>
  <w:num w:numId="20" w16cid:durableId="1483038117">
    <w:abstractNumId w:val="13"/>
  </w:num>
  <w:num w:numId="21" w16cid:durableId="1710492940">
    <w:abstractNumId w:val="11"/>
  </w:num>
  <w:num w:numId="22" w16cid:durableId="866915063">
    <w:abstractNumId w:val="6"/>
  </w:num>
  <w:num w:numId="23" w16cid:durableId="707527595">
    <w:abstractNumId w:val="27"/>
  </w:num>
  <w:num w:numId="24" w16cid:durableId="1574313086">
    <w:abstractNumId w:val="14"/>
  </w:num>
  <w:num w:numId="25" w16cid:durableId="1230770913">
    <w:abstractNumId w:val="30"/>
  </w:num>
  <w:num w:numId="26" w16cid:durableId="907763397">
    <w:abstractNumId w:val="21"/>
  </w:num>
  <w:num w:numId="27" w16cid:durableId="615911425">
    <w:abstractNumId w:val="3"/>
  </w:num>
  <w:num w:numId="28" w16cid:durableId="1266882329">
    <w:abstractNumId w:val="12"/>
  </w:num>
  <w:num w:numId="29" w16cid:durableId="1080445094">
    <w:abstractNumId w:val="16"/>
  </w:num>
  <w:num w:numId="30" w16cid:durableId="687944381">
    <w:abstractNumId w:val="10"/>
  </w:num>
  <w:num w:numId="31" w16cid:durableId="234705260">
    <w:abstractNumId w:val="24"/>
  </w:num>
  <w:num w:numId="32" w16cid:durableId="1131841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C5"/>
    <w:rsid w:val="00031E23"/>
    <w:rsid w:val="00183B20"/>
    <w:rsid w:val="002071D7"/>
    <w:rsid w:val="00272750"/>
    <w:rsid w:val="002F1211"/>
    <w:rsid w:val="003037C0"/>
    <w:rsid w:val="0036317F"/>
    <w:rsid w:val="00366325"/>
    <w:rsid w:val="00374187"/>
    <w:rsid w:val="003F7900"/>
    <w:rsid w:val="00554FC5"/>
    <w:rsid w:val="00565B3F"/>
    <w:rsid w:val="00613BB6"/>
    <w:rsid w:val="00650AF6"/>
    <w:rsid w:val="00662CF2"/>
    <w:rsid w:val="00706B37"/>
    <w:rsid w:val="00711132"/>
    <w:rsid w:val="007452A5"/>
    <w:rsid w:val="007D5228"/>
    <w:rsid w:val="008620A6"/>
    <w:rsid w:val="00866B9F"/>
    <w:rsid w:val="00866E6B"/>
    <w:rsid w:val="00941E84"/>
    <w:rsid w:val="009F392D"/>
    <w:rsid w:val="00A35B61"/>
    <w:rsid w:val="00AE38C5"/>
    <w:rsid w:val="00C50F40"/>
    <w:rsid w:val="00CE13FB"/>
    <w:rsid w:val="00CF1D74"/>
    <w:rsid w:val="00E43FFD"/>
    <w:rsid w:val="00E648AB"/>
    <w:rsid w:val="00E77DEA"/>
    <w:rsid w:val="00F1663D"/>
    <w:rsid w:val="00F2539C"/>
    <w:rsid w:val="00F72358"/>
    <w:rsid w:val="00FA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CC1F"/>
  <w15:chartTrackingRefBased/>
  <w15:docId w15:val="{0B6D4088-D171-9847-853E-B438FD8B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C5"/>
    <w:pPr>
      <w:keepNext/>
      <w:keepLines/>
      <w:numPr>
        <w:numId w:val="1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8C5"/>
    <w:pPr>
      <w:keepNext/>
      <w:keepLines/>
      <w:numPr>
        <w:ilvl w:val="1"/>
        <w:numId w:val="1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8C5"/>
    <w:pPr>
      <w:keepNext/>
      <w:keepLines/>
      <w:numPr>
        <w:ilvl w:val="2"/>
        <w:numId w:val="1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38C5"/>
    <w:pPr>
      <w:keepNext/>
      <w:keepLines/>
      <w:numPr>
        <w:ilvl w:val="3"/>
        <w:numId w:val="1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E38C5"/>
    <w:pPr>
      <w:keepNext/>
      <w:keepLines/>
      <w:numPr>
        <w:ilvl w:val="4"/>
        <w:numId w:val="1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E38C5"/>
    <w:pPr>
      <w:keepNext/>
      <w:keepLines/>
      <w:numPr>
        <w:ilvl w:val="5"/>
        <w:numId w:val="1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C5"/>
    <w:pPr>
      <w:keepNext/>
      <w:keepLines/>
      <w:numPr>
        <w:ilvl w:val="6"/>
        <w:numId w:val="1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C5"/>
    <w:pPr>
      <w:keepNext/>
      <w:keepLines/>
      <w:numPr>
        <w:ilvl w:val="7"/>
        <w:numId w:val="1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C5"/>
    <w:pPr>
      <w:keepNext/>
      <w:keepLines/>
      <w:numPr>
        <w:ilvl w:val="8"/>
        <w:numId w:val="1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E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E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C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E38C5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38C5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452A5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11132"/>
    <w:pPr>
      <w:tabs>
        <w:tab w:val="left" w:pos="480"/>
        <w:tab w:val="right" w:leader="dot" w:pos="10070"/>
      </w:tabs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7452A5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452A5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452A5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452A5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452A5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452A5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452A5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452A5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452A5"/>
    <w:pPr>
      <w:spacing w:after="0"/>
      <w:ind w:left="1920"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706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06B37"/>
  </w:style>
  <w:style w:type="character" w:styleId="HTMLCode">
    <w:name w:val="HTML Code"/>
    <w:basedOn w:val="DefaultParagraphFont"/>
    <w:uiPriority w:val="99"/>
    <w:semiHidden/>
    <w:unhideWhenUsed/>
    <w:rsid w:val="00706B37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1663D"/>
    <w:rPr>
      <w:color w:val="666666"/>
    </w:rPr>
  </w:style>
  <w:style w:type="character" w:styleId="Strong">
    <w:name w:val="Strong"/>
    <w:basedOn w:val="DefaultParagraphFont"/>
    <w:uiPriority w:val="22"/>
    <w:qFormat/>
    <w:rsid w:val="00031E23"/>
    <w:rPr>
      <w:b/>
      <w:bCs/>
    </w:rPr>
  </w:style>
  <w:style w:type="character" w:customStyle="1" w:styleId="math-inline">
    <w:name w:val="math-inline"/>
    <w:basedOn w:val="DefaultParagraphFont"/>
    <w:rsid w:val="00862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moonknight/Library/CloudStorage/OneDrive-TheUniversityofTexasatDallas/Corporate%20Risk%20Management/Common%20Workbook_Draf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moonknight/Library/CloudStorage/OneDrive-TheUniversityofTexasatDallas/Corporate%20Risk%20Management/Common%20Workbook_Draf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moonknight/Library/CloudStorage/OneDrive-TheUniversityofTexasatDallas/Corporate%20Risk%20Management/Common%20Workbook_Draf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moonknight/Library/CloudStorage/OneDrive-TheUniversityofTexasatDallas/Corporate%20Risk%20Management/Common%20Workbook_Draf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Krishna!$X$1</c:f>
              <c:strCache>
                <c:ptCount val="1"/>
                <c:pt idx="0">
                  <c:v>Inventory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Krishna!$W$2:$W$23</c:f>
              <c:numCache>
                <c:formatCode>0%</c:formatCode>
                <c:ptCount val="22"/>
                <c:pt idx="0">
                  <c:v>0.9</c:v>
                </c:pt>
                <c:pt idx="1">
                  <c:v>0.74</c:v>
                </c:pt>
                <c:pt idx="2">
                  <c:v>0.8</c:v>
                </c:pt>
                <c:pt idx="3">
                  <c:v>0.81</c:v>
                </c:pt>
                <c:pt idx="4">
                  <c:v>0.77</c:v>
                </c:pt>
                <c:pt idx="5">
                  <c:v>0.9</c:v>
                </c:pt>
                <c:pt idx="6">
                  <c:v>0.91</c:v>
                </c:pt>
                <c:pt idx="7">
                  <c:v>0.96</c:v>
                </c:pt>
                <c:pt idx="8">
                  <c:v>0.89</c:v>
                </c:pt>
                <c:pt idx="9">
                  <c:v>0.94</c:v>
                </c:pt>
                <c:pt idx="10">
                  <c:v>0.95</c:v>
                </c:pt>
                <c:pt idx="11">
                  <c:v>0.97</c:v>
                </c:pt>
                <c:pt idx="12">
                  <c:v>0.93</c:v>
                </c:pt>
                <c:pt idx="13">
                  <c:v>0.94</c:v>
                </c:pt>
                <c:pt idx="14">
                  <c:v>0.95</c:v>
                </c:pt>
                <c:pt idx="15">
                  <c:v>0.94</c:v>
                </c:pt>
                <c:pt idx="16">
                  <c:v>0.87</c:v>
                </c:pt>
                <c:pt idx="17">
                  <c:v>0.94</c:v>
                </c:pt>
                <c:pt idx="18">
                  <c:v>0.9</c:v>
                </c:pt>
                <c:pt idx="19">
                  <c:v>0.94</c:v>
                </c:pt>
                <c:pt idx="20">
                  <c:v>0.89</c:v>
                </c:pt>
                <c:pt idx="21">
                  <c:v>0.92</c:v>
                </c:pt>
              </c:numCache>
            </c:numRef>
          </c:xVal>
          <c:yVal>
            <c:numRef>
              <c:f>Krishna!$X$2:$X$23</c:f>
              <c:numCache>
                <c:formatCode>"$"#,##0.00_);[Red]\("$"#,##0.00\)</c:formatCode>
                <c:ptCount val="22"/>
                <c:pt idx="0">
                  <c:v>3675</c:v>
                </c:pt>
                <c:pt idx="1">
                  <c:v>5420</c:v>
                </c:pt>
                <c:pt idx="2">
                  <c:v>5357</c:v>
                </c:pt>
                <c:pt idx="3">
                  <c:v>6038</c:v>
                </c:pt>
                <c:pt idx="4">
                  <c:v>5908</c:v>
                </c:pt>
                <c:pt idx="5">
                  <c:v>6103</c:v>
                </c:pt>
                <c:pt idx="6">
                  <c:v>6227</c:v>
                </c:pt>
                <c:pt idx="7">
                  <c:v>6265</c:v>
                </c:pt>
                <c:pt idx="8">
                  <c:v>7174</c:v>
                </c:pt>
                <c:pt idx="9">
                  <c:v>7147</c:v>
                </c:pt>
                <c:pt idx="10">
                  <c:v>6628</c:v>
                </c:pt>
                <c:pt idx="11">
                  <c:v>6752</c:v>
                </c:pt>
                <c:pt idx="12">
                  <c:v>7455</c:v>
                </c:pt>
                <c:pt idx="13">
                  <c:v>6961</c:v>
                </c:pt>
                <c:pt idx="14">
                  <c:v>7513</c:v>
                </c:pt>
                <c:pt idx="15">
                  <c:v>7583</c:v>
                </c:pt>
                <c:pt idx="16">
                  <c:v>7912</c:v>
                </c:pt>
                <c:pt idx="17">
                  <c:v>8028</c:v>
                </c:pt>
                <c:pt idx="18">
                  <c:v>7048</c:v>
                </c:pt>
                <c:pt idx="19">
                  <c:v>7761</c:v>
                </c:pt>
                <c:pt idx="20">
                  <c:v>7119</c:v>
                </c:pt>
                <c:pt idx="21">
                  <c:v>7538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D03-AB42-BC1F-59BE3718D7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29336639"/>
        <c:axId val="1829329471"/>
      </c:scatterChart>
      <c:valAx>
        <c:axId val="1829336639"/>
        <c:scaling>
          <c:orientation val="minMax"/>
          <c:min val="0.7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Utilization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9329471"/>
        <c:crosses val="autoZero"/>
        <c:crossBetween val="midCat"/>
      </c:valAx>
      <c:valAx>
        <c:axId val="18293294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Inventory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&quot;$&quot;#,##0.00_);[Red]\(&quot;$&quot;#,##0.00\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93366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Cash</a:t>
            </a:r>
          </a:p>
        </c:rich>
      </c:tx>
      <c:layout>
        <c:manualLayout>
          <c:xMode val="edge"/>
          <c:yMode val="edge"/>
          <c:x val="0.41234803474272741"/>
          <c:y val="2.98529730902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rgbClr val="637CE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('SA Balance sheet'!$B$1,'SA Balance sheet'!$D$1:$G$1)</c:f>
              <c:strCache>
                <c:ptCount val="5"/>
                <c:pt idx="0">
                  <c:v>As Reported</c:v>
                </c:pt>
                <c:pt idx="1">
                  <c:v>As Weighted Simulation</c:v>
                </c:pt>
                <c:pt idx="2">
                  <c:v>Normal</c:v>
                </c:pt>
                <c:pt idx="3">
                  <c:v>Best</c:v>
                </c:pt>
                <c:pt idx="4">
                  <c:v>Worst</c:v>
                </c:pt>
              </c:strCache>
            </c:strRef>
          </c:cat>
          <c:val>
            <c:numRef>
              <c:f>('SA Balance sheet'!$B$6,'SA Balance sheet'!$D$6:$G$6)</c:f>
              <c:numCache>
                <c:formatCode>_(* #,##0.0_);_(* \(#,##0.0\)_)\ ;_(* 0_)</c:formatCode>
                <c:ptCount val="5"/>
                <c:pt idx="0">
                  <c:v>4657</c:v>
                </c:pt>
                <c:pt idx="1">
                  <c:v>3251.3400788321837</c:v>
                </c:pt>
                <c:pt idx="2">
                  <c:v>3323.0411586986947</c:v>
                </c:pt>
                <c:pt idx="3">
                  <c:v>3591.0602425899579</c:v>
                </c:pt>
                <c:pt idx="4">
                  <c:v>2577.0148756973576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D18-8247-B2A2-7CEF1356BB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8747016"/>
        <c:axId val="1648749064"/>
      </c:barChart>
      <c:catAx>
        <c:axId val="1648747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8749064"/>
        <c:crosses val="autoZero"/>
        <c:auto val="1"/>
        <c:lblAlgn val="ctr"/>
        <c:lblOffset val="100"/>
        <c:noMultiLvlLbl val="0"/>
      </c:catAx>
      <c:valAx>
        <c:axId val="1648749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_);_(* \(#,##0.0\)_)\ ;_(* 0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487470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'SA Balance sheet'!$A$12</c:f>
              <c:strCache>
                <c:ptCount val="1"/>
                <c:pt idx="0">
                  <c:v>Inventory</c:v>
                </c:pt>
              </c:strCache>
            </c:strRef>
          </c:tx>
          <c:spPr>
            <a:solidFill>
              <a:srgbClr val="637CE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('SA Balance sheet'!$B$1,'SA Balance sheet'!$D$1:$G$1)</c:f>
              <c:strCache>
                <c:ptCount val="5"/>
                <c:pt idx="0">
                  <c:v>As Reported</c:v>
                </c:pt>
                <c:pt idx="1">
                  <c:v>As Weighted Simulation</c:v>
                </c:pt>
                <c:pt idx="2">
                  <c:v>Normal</c:v>
                </c:pt>
                <c:pt idx="3">
                  <c:v>Best</c:v>
                </c:pt>
                <c:pt idx="4">
                  <c:v>Worst</c:v>
                </c:pt>
              </c:strCache>
            </c:strRef>
          </c:cat>
          <c:val>
            <c:numRef>
              <c:f>('SA Balance sheet'!$B$12,'SA Balance sheet'!$D$12:$G$12)</c:f>
              <c:numCache>
                <c:formatCode>_(* #,##0.0_);_(* \(#,##0.0\)_)\ ;_(* 0_)</c:formatCode>
                <c:ptCount val="5"/>
                <c:pt idx="0">
                  <c:v>7761</c:v>
                </c:pt>
                <c:pt idx="1">
                  <c:v>7462.1661472490614</c:v>
                </c:pt>
                <c:pt idx="2">
                  <c:v>7569.4614705567874</c:v>
                </c:pt>
                <c:pt idx="3">
                  <c:v>7965.9720193386938</c:v>
                </c:pt>
                <c:pt idx="4">
                  <c:v>6457.6487663900516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520-B94A-9E85-3521A55734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77454600"/>
        <c:axId val="777462280"/>
      </c:barChart>
      <c:catAx>
        <c:axId val="777454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462280"/>
        <c:crosses val="autoZero"/>
        <c:auto val="1"/>
        <c:lblAlgn val="ctr"/>
        <c:lblOffset val="100"/>
        <c:noMultiLvlLbl val="0"/>
      </c:catAx>
      <c:valAx>
        <c:axId val="777462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_);_(* \(#,##0.0\)_)\ ;_(* 0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4546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Operating Income Scenario Analysis</a:t>
            </a:r>
          </a:p>
        </c:rich>
      </c:tx>
      <c:layout>
        <c:manualLayout>
          <c:xMode val="edge"/>
          <c:yMode val="edge"/>
          <c:x val="0.2595390240526575"/>
          <c:y val="3.617349975621536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rgbClr val="637CE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'SA Income Statement'!$B$1:$F$1</c:f>
              <c:strCache>
                <c:ptCount val="5"/>
                <c:pt idx="0">
                  <c:v>12 months
Dec-31-2024</c:v>
                </c:pt>
                <c:pt idx="1">
                  <c:v>Weighted Simulation</c:v>
                </c:pt>
                <c:pt idx="2">
                  <c:v>Normal</c:v>
                </c:pt>
                <c:pt idx="3">
                  <c:v>Best</c:v>
                </c:pt>
                <c:pt idx="4">
                  <c:v>Worst</c:v>
                </c:pt>
              </c:strCache>
            </c:strRef>
          </c:cat>
          <c:val>
            <c:numRef>
              <c:f>'SA Income Statement'!$B$18:$F$18</c:f>
              <c:numCache>
                <c:formatCode>_(* #,##0.0_);_(* \(#,##0.0\)_)\ ;_(* 0_)</c:formatCode>
                <c:ptCount val="5"/>
                <c:pt idx="0">
                  <c:v>3845</c:v>
                </c:pt>
                <c:pt idx="1">
                  <c:v>3153.2286552032579</c:v>
                </c:pt>
                <c:pt idx="2">
                  <c:v>3189.0791951365136</c:v>
                </c:pt>
                <c:pt idx="3">
                  <c:v>3323.0887370821451</c:v>
                </c:pt>
                <c:pt idx="4">
                  <c:v>2816.066053635845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{"Operating Income"}</c15:sqref>
                        </c15:formulaRef>
                      </c:ext>
                    </c:extLst>
                    <c:strCache>
                      <c:ptCount val="1"/>
                      <c:pt idx="0">
                        <c:v>Operating Income</c:v>
                      </c:pt>
                    </c:strCache>
                  </c:strRef>
                </c15:tx>
              </c15:filteredSeriesTitle>
            </c:ext>
            <c:ext xmlns:c16="http://schemas.microsoft.com/office/drawing/2014/chart" uri="{C3380CC4-5D6E-409C-BE32-E72D297353CC}">
              <c16:uniqueId val="{00000000-6A8B-494D-829E-7E3A1EB12C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78147336"/>
        <c:axId val="778150408"/>
      </c:barChart>
      <c:catAx>
        <c:axId val="778147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8150408"/>
        <c:crosses val="autoZero"/>
        <c:auto val="1"/>
        <c:lblAlgn val="ctr"/>
        <c:lblOffset val="100"/>
        <c:noMultiLvlLbl val="0"/>
      </c:catAx>
      <c:valAx>
        <c:axId val="778150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* #,##0.0_);_(* \(#,##0.0\)_)\ ;_(* 0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81473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000">
  <a:srgbClr val="637CEF"/>
  <a:srgbClr val="E3008C"/>
  <a:srgbClr val="2AA0A4"/>
  <a:srgbClr val="9373C0"/>
  <a:srgbClr val="13A10E"/>
  <a:srgbClr val="3A96DD"/>
  <a:srgbClr val="CA5010"/>
  <a:srgbClr val="57811B"/>
  <a:srgbClr val="B146C2"/>
  <a:srgbClr val="AE8C00"/>
  <a:srgbClr val="AE8C00"/>
  <a:srgbClr val="637CEF"/>
  <a:srgbClr val="EE5FB7"/>
  <a:srgbClr val="008B94"/>
  <a:srgbClr val="D77440"/>
  <a:srgbClr val="BA58C9"/>
  <a:srgbClr val="3A96DD"/>
  <a:srgbClr val="E3008C"/>
  <a:srgbClr val="C36BD1"/>
  <a:srgbClr val="D06228"/>
  <a:srgbClr val="57811B"/>
</cs:colorStyle>
</file>

<file path=word/charts/colors3.xml><?xml version="1.0" encoding="utf-8"?>
<cs:colorStyle xmlns:cs="http://schemas.microsoft.com/office/drawing/2012/chartStyle" xmlns:a="http://schemas.openxmlformats.org/drawingml/2006/main" meth="cycle" id="10000">
  <a:srgbClr val="637CEF"/>
  <a:srgbClr val="E3008C"/>
  <a:srgbClr val="2AA0A4"/>
  <a:srgbClr val="9373C0"/>
  <a:srgbClr val="13A10E"/>
  <a:srgbClr val="3A96DD"/>
  <a:srgbClr val="CA5010"/>
  <a:srgbClr val="57811B"/>
  <a:srgbClr val="B146C2"/>
  <a:srgbClr val="AE8C00"/>
  <a:srgbClr val="AE8C00"/>
  <a:srgbClr val="637CEF"/>
  <a:srgbClr val="EE5FB7"/>
  <a:srgbClr val="008B94"/>
  <a:srgbClr val="D77440"/>
  <a:srgbClr val="BA58C9"/>
  <a:srgbClr val="3A96DD"/>
  <a:srgbClr val="E3008C"/>
  <a:srgbClr val="C36BD1"/>
  <a:srgbClr val="D06228"/>
  <a:srgbClr val="57811B"/>
</cs:colorStyle>
</file>

<file path=word/charts/colors4.xml><?xml version="1.0" encoding="utf-8"?>
<cs:colorStyle xmlns:cs="http://schemas.microsoft.com/office/drawing/2012/chartStyle" xmlns:a="http://schemas.openxmlformats.org/drawingml/2006/main" meth="cycle" id="10000">
  <a:srgbClr val="637CEF"/>
  <a:srgbClr val="E3008C"/>
  <a:srgbClr val="2AA0A4"/>
  <a:srgbClr val="9373C0"/>
  <a:srgbClr val="13A10E"/>
  <a:srgbClr val="3A96DD"/>
  <a:srgbClr val="CA5010"/>
  <a:srgbClr val="57811B"/>
  <a:srgbClr val="B146C2"/>
  <a:srgbClr val="AE8C00"/>
  <a:srgbClr val="AE8C00"/>
  <a:srgbClr val="637CEF"/>
  <a:srgbClr val="EE5FB7"/>
  <a:srgbClr val="008B94"/>
  <a:srgbClr val="D77440"/>
  <a:srgbClr val="BA58C9"/>
  <a:srgbClr val="3A96DD"/>
  <a:srgbClr val="E3008C"/>
  <a:srgbClr val="C36BD1"/>
  <a:srgbClr val="D06228"/>
  <a:srgbClr val="57811B"/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9F0A97-BC40-E945-91A1-07D831D51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2478</Words>
  <Characters>14130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Risk Management Report: Key Drivers &amp; Financial Impact</vt:lpstr>
    </vt:vector>
  </TitlesOfParts>
  <Company/>
  <LinksUpToDate>false</LinksUpToDate>
  <CharactersWithSpaces>16575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Risk Management Report: Key Drivers &amp; Financial Impact</dc:title>
  <dc:subject>Company: Valero Energy Corporation 
Date: December 12, 2025
Subject: Analysis of Stochastic Drivers Affecting Financial Statements</dc:subject>
  <dc:creator>Krishna Chaitanya</dc:creator>
  <cp:keywords/>
  <dc:description/>
  <cp:lastModifiedBy>Sridhar, Sneha</cp:lastModifiedBy>
  <cp:revision>4</cp:revision>
  <cp:lastPrinted>2025-12-13T19:28:00Z</cp:lastPrinted>
  <dcterms:created xsi:type="dcterms:W3CDTF">2025-12-14T03:45:00Z</dcterms:created>
  <dcterms:modified xsi:type="dcterms:W3CDTF">2025-12-14T05:50:00Z</dcterms:modified>
</cp:coreProperties>
</file>