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SmartHome IoT — Resumen Unidades 2 y 3</w:t>
      </w:r>
    </w:p>
    <w:p>
      <w:pPr>
        <w:spacing w:after="20"/>
        <w:jc w:val="center"/>
      </w:pPr>
      <w:r>
        <w:rPr>
          <w:color w:val="555555"/>
          <w:sz w:val="20"/>
          <w:szCs w:val="20"/>
        </w:rPr>
        <w:t xml:space="preserve">Protocolos avanzados, seguridad, LLM local, gemelo digital y agente autónomo</w:t>
      </w:r>
    </w:p>
    <w:p>
      <w:pPr>
        <w:pBdr>
          <w:bottom w:val="single" w:color="1F4E79" w:sz="12" w:space="6"/>
        </w:pBdr>
        <w:spacing w:after="100"/>
        <w:jc w:val="center"/>
      </w:pPr>
      <w:r>
        <w:rPr>
          <w:color w:val="555555"/>
          <w:sz w:val="20"/>
          <w:szCs w:val="20"/>
        </w:rPr>
        <w:t xml:space="preserve">Joaquín Novoa · Franco Bessolo · Prof. Ricardo Pérez</w:t>
      </w:r>
    </w:p>
    <w:p>
      <w:pPr>
        <w:spacing w:after="160" w:before="0"/>
      </w:pPr>
      <w:r>
        <w:t xml:space="preserve">Documento de trabajo: </w:t>
      </w:r>
      <w:r>
        <w:t xml:space="preserve">lista directa de </w:t>
      </w:r>
      <w:r>
        <w:rPr>
          <w:b/>
          <w:bCs/>
        </w:rPr>
        <w:t xml:space="preserve">todo lo que se pide</w:t>
      </w:r>
      <w:r>
        <w:t xml:space="preserve"> en las Unidades 2 y 3, con su ponderación. La nota se calcula como </w:t>
      </w:r>
      <w:r>
        <w:rPr>
          <w:b/>
          <w:bCs/>
        </w:rPr>
        <w:t xml:space="preserve">Nota = 1,0 + (Puntaje/100) × 6,0</w:t>
      </w:r>
      <w:r>
        <w:t xml:space="preserve"> (mínimo de aprobación: 4,0 = 50%). Las Unidades 2 y 3 se evalúan con rúbricas independientes, cada una sobre 100%.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UNIDAD 2 — Protocolos de comunicación, seguridad y LLM local</w:t>
            </w:r>
          </w:p>
        </w:tc>
      </w:tr>
    </w:tbl>
    <w:p>
      <w:pPr>
        <w:spacing w:after="100" w:before="120"/>
      </w:pPr>
      <w:r>
        <w:rPr>
          <w:b/>
          <w:bCs/>
        </w:rPr>
        <w:t xml:space="preserve">Objetivo: </w:t>
      </w:r>
      <w:r>
        <w:t xml:space="preserve">reemplazar las reglas if/else rígidas por un LLM local que razona en lenguaje natural, asegurar la comunicación (MQTT con TLS + autenticación + ACLs) y explorar CoAP como protocolo alternativo. Entregable en carpeta </w:t>
      </w:r>
      <w:r>
        <w:rPr>
          <w:b/>
          <w:bCs/>
        </w:rPr>
        <w:t xml:space="preserve">unidad2/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926"/>
        <w:gridCol w:w="600"/>
      </w:tblGrid>
      <w:tr>
        <w:trPr>
          <w:tblHeader/>
        </w:trP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 requerida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se debe entregar (mínimo)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MQTT seguro (TLS + auth)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Mosquitto con usuario/contraseña (</w:t>
            </w:r>
            <w:r>
              <w:rPr>
                <w:b/>
                <w:bCs/>
                <w:sz w:val="17"/>
                <w:szCs w:val="17"/>
              </w:rPr>
              <w:t xml:space="preserve">mosquitto_passwd</w:t>
            </w:r>
            <w:r>
              <w:rPr>
                <w:sz w:val="17"/>
                <w:szCs w:val="17"/>
              </w:rPr>
              <w:t xml:space="preserve">) y certificado TLS autofirmado en el </w:t>
            </w:r>
            <w:r>
              <w:rPr>
                <w:b/>
                <w:bCs/>
                <w:sz w:val="17"/>
                <w:szCs w:val="17"/>
              </w:rPr>
              <w:t xml:space="preserve">puerto 8883</w:t>
            </w:r>
            <w:r>
              <w:rPr>
                <w:sz w:val="17"/>
                <w:szCs w:val="17"/>
              </w:rPr>
              <w:t xml:space="preserve">. Actualizar firmware del ESP32 y los flujos de Node-RED para conectarse al broker seguro. Se mantienen el formato JSON y la jerarquía de tópicos de la Unidad 1; se agregan </w:t>
            </w:r>
            <w:r>
              <w:rPr>
                <w:b/>
                <w:bCs/>
                <w:sz w:val="17"/>
                <w:szCs w:val="17"/>
              </w:rPr>
              <w:t xml:space="preserve">smarthome/equipoXX/llm/decision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b/>
                <w:bCs/>
                <w:sz w:val="17"/>
                <w:szCs w:val="17"/>
              </w:rPr>
              <w:t xml:space="preserve">.../llm/respuesta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ACLs + análisis de seguridad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ACLs en Mosquitto que limiten qué cliente puede publicar/suscribirse a cada tópico. Documentar las medidas (auth, TLS, ACLs) y analizar </w:t>
            </w:r>
            <w:r>
              <w:rPr>
                <w:b/>
                <w:bCs/>
                <w:sz w:val="17"/>
                <w:szCs w:val="17"/>
              </w:rPr>
              <w:t xml:space="preserve">al menos una vulnerabilidad</w:t>
            </w:r>
            <w:r>
              <w:rPr>
                <w:sz w:val="17"/>
                <w:szCs w:val="17"/>
              </w:rPr>
              <w:t xml:space="preserve"> del stack IoT (ej. broker sin auth o expuesto a red pública) con su mitigación.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CoAP en un nodo sensor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Un ESP32 publica temperatura o humedad por </w:t>
            </w:r>
            <w:r>
              <w:rPr>
                <w:b/>
                <w:bCs/>
                <w:sz w:val="17"/>
                <w:szCs w:val="17"/>
              </w:rPr>
              <w:t xml:space="preserve">CoAP</w:t>
            </w:r>
            <w:r>
              <w:rPr>
                <w:sz w:val="17"/>
                <w:szCs w:val="17"/>
              </w:rPr>
              <w:t xml:space="preserve"> (UDP 5683, </w:t>
            </w:r>
            <w:r>
              <w:rPr>
                <w:i/>
                <w:iCs/>
                <w:sz w:val="17"/>
                <w:szCs w:val="17"/>
              </w:rPr>
              <w:t xml:space="preserve">CoAP-simple-library</w:t>
            </w:r>
            <w:r>
              <w:rPr>
                <w:sz w:val="17"/>
                <w:szCs w:val="17"/>
              </w:rPr>
              <w:t xml:space="preserve">). Node-RED recibe con </w:t>
            </w:r>
            <w:r>
              <w:rPr>
                <w:b/>
                <w:bCs/>
                <w:sz w:val="17"/>
                <w:szCs w:val="17"/>
              </w:rPr>
              <w:t xml:space="preserve">node-red-contrib-coap</w:t>
            </w:r>
            <w:r>
              <w:rPr>
                <w:sz w:val="17"/>
                <w:szCs w:val="17"/>
              </w:rPr>
              <w:t xml:space="preserve"> y reenvía al broker MQTT. Comparar en el informe tamaño de mensaje y ancho de banda </w:t>
            </w:r>
            <w:r>
              <w:rPr>
                <w:b/>
                <w:bCs/>
                <w:sz w:val="17"/>
                <w:szCs w:val="17"/>
              </w:rPr>
              <w:t xml:space="preserve">MQTT vs CoAP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LLM local (Ollama) como controlador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Instalar </w:t>
            </w:r>
            <w:r>
              <w:rPr>
                <w:b/>
                <w:bCs/>
                <w:sz w:val="17"/>
                <w:szCs w:val="17"/>
              </w:rPr>
              <w:t xml:space="preserve">Ollama</w:t>
            </w:r>
            <w:r>
              <w:rPr>
                <w:sz w:val="17"/>
                <w:szCs w:val="17"/>
              </w:rPr>
              <w:t xml:space="preserve"> con modelo liviano (</w:t>
            </w:r>
            <w:r>
              <w:rPr>
                <w:b/>
                <w:bCs/>
                <w:sz w:val="17"/>
                <w:szCs w:val="17"/>
              </w:rPr>
              <w:t xml:space="preserve">phi3:mini</w:t>
            </w:r>
            <w:r>
              <w:rPr>
                <w:sz w:val="17"/>
                <w:szCs w:val="17"/>
              </w:rPr>
              <w:t xml:space="preserve"> o llama3.2:3b). Node-RED arma un prompt con el estado del hogar y llama a </w:t>
            </w:r>
            <w:r>
              <w:rPr>
                <w:b/>
                <w:bCs/>
                <w:sz w:val="17"/>
                <w:szCs w:val="17"/>
              </w:rPr>
              <w:t xml:space="preserve">POST /api/generate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b/>
                <w:bCs/>
                <w:sz w:val="17"/>
                <w:szCs w:val="17"/>
              </w:rPr>
              <w:t xml:space="preserve">"format":"json"</w:t>
            </w:r>
            <w:r>
              <w:rPr>
                <w:sz w:val="17"/>
                <w:szCs w:val="17"/>
              </w:rPr>
              <w:t xml:space="preserve">. El LLM responde JSON (nivel_alerta, activar_led, activar_buzzer, mensaje_alerta, razonamiento) y Node-RED </w:t>
            </w:r>
            <w:r>
              <w:rPr>
                <w:b/>
                <w:bCs/>
                <w:sz w:val="17"/>
                <w:szCs w:val="17"/>
              </w:rPr>
              <w:t xml:space="preserve">publica los comandos MQTT</w:t>
            </w:r>
            <w:r>
              <w:rPr>
                <w:sz w:val="17"/>
                <w:szCs w:val="17"/>
              </w:rPr>
              <w:t xml:space="preserve"> (led, buzzer, alerta, llm/decision).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Consulta en lenguaje natural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Campo de texto en el dashboard donde el usuario escribe preguntas en español. El sistema </w:t>
            </w:r>
            <w:r>
              <w:rPr>
                <w:b/>
                <w:bCs/>
                <w:sz w:val="17"/>
                <w:szCs w:val="17"/>
              </w:rPr>
              <w:t xml:space="preserve">inyecta automáticamente los datos actuales</w:t>
            </w:r>
            <w:r>
              <w:rPr>
                <w:sz w:val="17"/>
                <w:szCs w:val="17"/>
              </w:rPr>
              <w:t xml:space="preserve"> de los sensores como contexto, lo envía al LLM y </w:t>
            </w:r>
            <w:r>
              <w:rPr>
                <w:b/>
                <w:bCs/>
                <w:sz w:val="17"/>
                <w:szCs w:val="17"/>
              </w:rPr>
              <w:t xml:space="preserve">muestra la respuesta</w:t>
            </w:r>
            <w:r>
              <w:rPr>
                <w:sz w:val="17"/>
                <w:szCs w:val="17"/>
              </w:rPr>
              <w:t xml:space="preserve">. Ej: «¿Es seguro dormir con estos niveles de gas?», «Resume el estado del hogar en una frase».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Informe técnico (secciones nuevas)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5–8 páginas adicionales: configuración MQTT seguro, comparativa MQTT vs CoAP, arquitectura del LLM (diagrama + prompt + ejemplos), análisis de seguridad, capturas de la interfaz NL, problemas de integración y reflexión crítica (LLM vs regla clásica).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Defensa oral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15 min: 8 de demo en vivo (incluyendo una consulta en lenguaje natural al LLM) + 7 de preguntas sobre protocolos y seguridad. Participan todos los integrantes.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5%</w:t>
            </w:r>
          </w:p>
        </w:tc>
      </w:tr>
    </w:tbl>
    <w:p>
      <w:pPr>
        <w:spacing w:after="120" w:before="60"/>
      </w:pPr>
      <w:r>
        <w:rPr>
          <w:b/>
          <w:bCs/>
          <w:color w:val="444444"/>
          <w:sz w:val="16"/>
          <w:szCs w:val="16"/>
        </w:rPr>
        <w:t xml:space="preserve">Total Unidad 2: 100%.</w:t>
      </w:r>
      <w:r>
        <w:rPr>
          <w:color w:val="444444"/>
          <w:sz w:val="16"/>
          <w:szCs w:val="16"/>
        </w:rPr>
        <w:t xml:space="preserve">  Tópicos nuevos: </w:t>
      </w:r>
      <w:r>
        <w:rPr>
          <w:b/>
          <w:bCs/>
          <w:color w:val="444444"/>
          <w:sz w:val="16"/>
          <w:szCs w:val="16"/>
        </w:rPr>
        <w:t xml:space="preserve">llm/decision</w:t>
      </w:r>
      <w:r>
        <w:rPr>
          <w:color w:val="444444"/>
          <w:sz w:val="16"/>
          <w:szCs w:val="16"/>
        </w:rPr>
        <w:t xml:space="preserve">, </w:t>
      </w:r>
      <w:r>
        <w:rPr>
          <w:b/>
          <w:bCs/>
          <w:color w:val="444444"/>
          <w:sz w:val="16"/>
          <w:szCs w:val="16"/>
        </w:rPr>
        <w:t xml:space="preserve">llm/respuesta</w:t>
      </w:r>
      <w:r>
        <w:rPr>
          <w:color w:val="444444"/>
          <w:sz w:val="16"/>
          <w:szCs w:val="16"/>
        </w:rPr>
        <w:t xml:space="preserve">. Consejo del enunciado: usar </w:t>
      </w:r>
      <w:r>
        <w:rPr>
          <w:b/>
          <w:bCs/>
          <w:color w:val="444444"/>
          <w:sz w:val="16"/>
          <w:szCs w:val="16"/>
        </w:rPr>
        <w:t xml:space="preserve">"format":"json"</w:t>
      </w:r>
      <w:r>
        <w:rPr>
          <w:color w:val="444444"/>
          <w:sz w:val="16"/>
          <w:szCs w:val="16"/>
        </w:rPr>
        <w:t xml:space="preserve"> en Ollama para forzar JSON válido y simplificar el parseo en Node-RED.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UNIDAD 3 — IoT industrial: gemelo digital y agente autónomo</w:t>
            </w:r>
          </w:p>
        </w:tc>
      </w:tr>
    </w:tbl>
    <w:p>
      <w:pPr>
        <w:spacing w:after="100" w:before="120"/>
      </w:pPr>
      <w:r>
        <w:rPr>
          <w:b/>
          <w:bCs/>
        </w:rPr>
        <w:t xml:space="preserve">Objetivo: </w:t>
      </w:r>
      <w:r>
        <w:t xml:space="preserve">llevar el sistema a nivel productivo con un gemelo digital, predicción de series de tiempo y un agente autónomo basado en el LLM local, todo desplegado con Docker Compose. Entregable en carpeta </w:t>
      </w:r>
      <w:r>
        <w:rPr>
          <w:b/>
          <w:bCs/>
        </w:rPr>
        <w:t xml:space="preserve">unidad3/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926"/>
        <w:gridCol w:w="600"/>
      </w:tblGrid>
      <w:tr>
        <w:trPr>
          <w:tblHeader/>
        </w:trP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 requerida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se debe entregar (mínimo)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Stack con Docker Compose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Levantar todo con </w:t>
            </w:r>
            <w:r>
              <w:rPr>
                <w:b/>
                <w:bCs/>
                <w:sz w:val="17"/>
                <w:szCs w:val="17"/>
              </w:rPr>
              <w:t xml:space="preserve">un solo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i/>
                <w:iCs/>
                <w:sz w:val="17"/>
                <w:szCs w:val="17"/>
              </w:rPr>
              <w:t xml:space="preserve">docker compose up -d</w:t>
            </w:r>
            <w:r>
              <w:rPr>
                <w:sz w:val="17"/>
                <w:szCs w:val="17"/>
              </w:rPr>
              <w:t xml:space="preserve">. Servicios mínimos: </w:t>
            </w:r>
            <w:r>
              <w:rPr>
                <w:b/>
                <w:bCs/>
                <w:sz w:val="17"/>
                <w:szCs w:val="17"/>
              </w:rPr>
              <w:t xml:space="preserve">mosquitto</w:t>
            </w:r>
            <w:r>
              <w:rPr>
                <w:sz w:val="17"/>
                <w:szCs w:val="17"/>
              </w:rPr>
              <w:t xml:space="preserve"> (8883), </w:t>
            </w:r>
            <w:r>
              <w:rPr>
                <w:b/>
                <w:bCs/>
                <w:sz w:val="17"/>
                <w:szCs w:val="17"/>
              </w:rPr>
              <w:t xml:space="preserve">influxdb</w:t>
            </w:r>
            <w:r>
              <w:rPr>
                <w:sz w:val="17"/>
                <w:szCs w:val="17"/>
              </w:rPr>
              <w:t xml:space="preserve"> (8086), </w:t>
            </w:r>
            <w:r>
              <w:rPr>
                <w:b/>
                <w:bCs/>
                <w:sz w:val="17"/>
                <w:szCs w:val="17"/>
              </w:rPr>
              <w:t xml:space="preserve">grafana</w:t>
            </w:r>
            <w:r>
              <w:rPr>
                <w:sz w:val="17"/>
                <w:szCs w:val="17"/>
              </w:rPr>
              <w:t xml:space="preserve"> (3000), </w:t>
            </w:r>
            <w:r>
              <w:rPr>
                <w:b/>
                <w:bCs/>
                <w:sz w:val="17"/>
                <w:szCs w:val="17"/>
              </w:rPr>
              <w:t xml:space="preserve">n8n</w:t>
            </w:r>
            <w:r>
              <w:rPr>
                <w:sz w:val="17"/>
                <w:szCs w:val="17"/>
              </w:rPr>
              <w:t xml:space="preserve"> (5678) y </w:t>
            </w:r>
            <w:r>
              <w:rPr>
                <w:b/>
                <w:bCs/>
                <w:sz w:val="17"/>
                <w:szCs w:val="17"/>
              </w:rPr>
              <w:t xml:space="preserve">node-red</w:t>
            </w:r>
            <w:r>
              <w:rPr>
                <w:sz w:val="17"/>
                <w:szCs w:val="17"/>
              </w:rPr>
              <w:t xml:space="preserve"> (1880). Ollama corre en el host, accedido vía host.docker.internal:11434.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Gemelo digital del hogar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Objeto JSON persistente sincronizado en tiempo real con MQTT. Guarda </w:t>
            </w:r>
            <w:r>
              <w:rPr>
                <w:b/>
                <w:bCs/>
                <w:sz w:val="17"/>
                <w:szCs w:val="17"/>
              </w:rPr>
              <w:t xml:space="preserve">estado_actual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 xml:space="preserve">historial</w:t>
            </w:r>
            <w:r>
              <w:rPr>
                <w:sz w:val="17"/>
                <w:szCs w:val="17"/>
              </w:rPr>
              <w:t xml:space="preserve"> (últimos 60 registros = 1h), </w:t>
            </w:r>
            <w:r>
              <w:rPr>
                <w:b/>
                <w:bCs/>
                <w:sz w:val="17"/>
                <w:szCs w:val="17"/>
              </w:rPr>
              <w:t xml:space="preserve">alertas_activas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 xml:space="preserve">prediccion_30min</w:t>
            </w:r>
            <w:r>
              <w:rPr>
                <w:sz w:val="17"/>
                <w:szCs w:val="17"/>
              </w:rPr>
              <w:t xml:space="preserve"> y un campo </w:t>
            </w:r>
            <w:r>
              <w:rPr>
                <w:b/>
                <w:bCs/>
                <w:sz w:val="17"/>
                <w:szCs w:val="17"/>
              </w:rPr>
              <w:t xml:space="preserve">resumen_llm</w:t>
            </w:r>
            <w:r>
              <w:rPr>
                <w:sz w:val="17"/>
                <w:szCs w:val="17"/>
              </w:rPr>
              <w:t xml:space="preserve">. Se expone por </w:t>
            </w:r>
            <w:r>
              <w:rPr>
                <w:b/>
                <w:bCs/>
                <w:sz w:val="17"/>
                <w:szCs w:val="17"/>
              </w:rPr>
              <w:t xml:space="preserve">API REST</w:t>
            </w:r>
            <w:r>
              <w:rPr>
                <w:sz w:val="17"/>
                <w:szCs w:val="17"/>
              </w:rPr>
              <w:t xml:space="preserve"> en Node-RED: </w:t>
            </w:r>
            <w:r>
              <w:rPr>
                <w:b/>
                <w:bCs/>
                <w:sz w:val="17"/>
                <w:szCs w:val="17"/>
              </w:rPr>
              <w:t xml:space="preserve">GET /gemelo/estado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Predicción de series de tiempo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Script Python cada 10 min: lee historial (InfluxDB o CSV) y proyecta a </w:t>
            </w:r>
            <w:r>
              <w:rPr>
                <w:b/>
                <w:bCs/>
                <w:sz w:val="17"/>
                <w:szCs w:val="17"/>
              </w:rPr>
              <w:t xml:space="preserve">30 min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b/>
                <w:bCs/>
                <w:sz w:val="17"/>
                <w:szCs w:val="17"/>
              </w:rPr>
              <w:t xml:space="preserve">numpy.polyfit</w:t>
            </w:r>
            <w:r>
              <w:rPr>
                <w:sz w:val="17"/>
                <w:szCs w:val="17"/>
              </w:rPr>
              <w:t xml:space="preserve"> (o Prophet) para temperatura y gas. Publica en </w:t>
            </w:r>
            <w:r>
              <w:rPr>
                <w:b/>
                <w:bCs/>
                <w:sz w:val="17"/>
                <w:szCs w:val="17"/>
              </w:rPr>
              <w:t xml:space="preserve">prediccion/temperatura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b/>
                <w:bCs/>
                <w:sz w:val="17"/>
                <w:szCs w:val="17"/>
              </w:rPr>
              <w:t xml:space="preserve">prediccion/gas</w:t>
            </w:r>
            <w:r>
              <w:rPr>
                <w:sz w:val="17"/>
                <w:szCs w:val="17"/>
              </w:rPr>
              <w:t xml:space="preserve">; si supera umbral antes de 30 min, emite </w:t>
            </w:r>
            <w:r>
              <w:rPr>
                <w:b/>
                <w:bCs/>
                <w:sz w:val="17"/>
                <w:szCs w:val="17"/>
              </w:rPr>
              <w:t xml:space="preserve">alerta preventiva</w:t>
            </w:r>
            <w:r>
              <w:rPr>
                <w:sz w:val="17"/>
                <w:szCs w:val="17"/>
              </w:rPr>
              <w:t xml:space="preserve"> ("tipo":"preventiva"). Se visualiza en Grafana (real vs proyección).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Agente autónomo (n8n + LLM)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Flujo en </w:t>
            </w:r>
            <w:r>
              <w:rPr>
                <w:b/>
                <w:bCs/>
                <w:sz w:val="17"/>
                <w:szCs w:val="17"/>
              </w:rPr>
              <w:t xml:space="preserve">n8n</w:t>
            </w:r>
            <w:r>
              <w:rPr>
                <w:sz w:val="17"/>
                <w:szCs w:val="17"/>
              </w:rPr>
              <w:t xml:space="preserve"> que se activa cada 5 min o por evento crítico. Obtiene el contexto del gemelo (REST), lo envía al LLM con un </w:t>
            </w:r>
            <w:r>
              <w:rPr>
                <w:b/>
                <w:bCs/>
                <w:sz w:val="17"/>
                <w:szCs w:val="17"/>
              </w:rPr>
              <w:t xml:space="preserve">prompt de agente</w:t>
            </w:r>
            <w:r>
              <w:rPr>
                <w:sz w:val="17"/>
                <w:szCs w:val="17"/>
              </w:rPr>
              <w:t xml:space="preserve"> con herramientas (activar_actuador, enviar_notificacion, registrar_evento, ajustar_umbral). El LLM devuelve un array de </w:t>
            </w:r>
            <w:r>
              <w:rPr>
                <w:b/>
                <w:bCs/>
                <w:sz w:val="17"/>
                <w:szCs w:val="17"/>
              </w:rPr>
              <w:t xml:space="preserve">acciones en cadena</w:t>
            </w:r>
            <w:r>
              <w:rPr>
                <w:sz w:val="17"/>
                <w:szCs w:val="17"/>
              </w:rPr>
              <w:t xml:space="preserve"> que n8n </w:t>
            </w:r>
            <w:r>
              <w:rPr>
                <w:b/>
                <w:bCs/>
                <w:sz w:val="17"/>
                <w:szCs w:val="17"/>
              </w:rPr>
              <w:t xml:space="preserve">ejecuta</w:t>
            </w:r>
            <w:r>
              <w:rPr>
                <w:sz w:val="17"/>
                <w:szCs w:val="17"/>
              </w:rPr>
              <w:t xml:space="preserve"> (MQTT, Telegram, InfluxDB/CSV) y </w:t>
            </w:r>
            <w:r>
              <w:rPr>
                <w:b/>
                <w:bCs/>
                <w:sz w:val="17"/>
                <w:szCs w:val="17"/>
              </w:rPr>
              <w:t xml:space="preserve">registra</w:t>
            </w:r>
            <w:r>
              <w:rPr>
                <w:sz w:val="17"/>
                <w:szCs w:val="17"/>
              </w:rPr>
              <w:t xml:space="preserve"> en InfluxDB/Grafana.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Dashboard en Grafana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Conectado a InfluxDB con paneles de: </w:t>
            </w:r>
            <w:r>
              <w:rPr>
                <w:b/>
                <w:bCs/>
                <w:sz w:val="17"/>
                <w:szCs w:val="17"/>
              </w:rPr>
              <w:t xml:space="preserve">series de tiempo</w:t>
            </w:r>
            <w:r>
              <w:rPr>
                <w:sz w:val="17"/>
                <w:szCs w:val="17"/>
              </w:rPr>
              <w:t xml:space="preserve"> (temp/humedad/gas, 6h), </w:t>
            </w:r>
            <w:r>
              <w:rPr>
                <w:b/>
                <w:bCs/>
                <w:sz w:val="17"/>
                <w:szCs w:val="17"/>
              </w:rPr>
              <w:t xml:space="preserve">predicción</w:t>
            </w:r>
            <w:r>
              <w:rPr>
                <w:sz w:val="17"/>
                <w:szCs w:val="17"/>
              </w:rPr>
              <w:t xml:space="preserve"> (real + proyección 30 min), </w:t>
            </w:r>
            <w:r>
              <w:rPr>
                <w:b/>
                <w:bCs/>
                <w:sz w:val="17"/>
                <w:szCs w:val="17"/>
              </w:rPr>
              <w:t xml:space="preserve">log de decisiones del agente</w:t>
            </w:r>
            <w:r>
              <w:rPr>
                <w:sz w:val="17"/>
                <w:szCs w:val="17"/>
              </w:rPr>
              <w:t xml:space="preserve"> (timestamp/razonamiento/acciones), </w:t>
            </w:r>
            <w:r>
              <w:rPr>
                <w:b/>
                <w:bCs/>
                <w:sz w:val="17"/>
                <w:szCs w:val="17"/>
              </w:rPr>
              <w:t xml:space="preserve">estado del gemelo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b/>
                <w:bCs/>
                <w:sz w:val="17"/>
                <w:szCs w:val="17"/>
              </w:rPr>
              <w:t xml:space="preserve">≥1 alerta de Grafana</w:t>
            </w:r>
            <w:r>
              <w:rPr>
                <w:sz w:val="17"/>
                <w:szCs w:val="17"/>
              </w:rPr>
              <w:t xml:space="preserve"> que dispare notificación (correo o webhook).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Análisis de aplicación industrial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Elegir un contexto (sala de servidores / agrícola / microrred eléctrica / edificio inteligente) y documentar: diagrama de arquitectura adaptada, protocolos recomendados a esa escala, desafíos de escalabilidad y valor operacional del agente LLM.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5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Informe consolidado + defensa final</w:t>
            </w:r>
          </w:p>
        </w:tc>
        <w:tc>
          <w:tcPr>
            <w:tcW w:type="dxa" w:w="5926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</w:pPr>
            <w:r>
              <w:rPr>
                <w:sz w:val="17"/>
                <w:szCs w:val="17"/>
              </w:rPr>
              <w:t xml:space="preserve">Informe único de </w:t>
            </w:r>
            <w:r>
              <w:rPr>
                <w:b/>
                <w:bCs/>
                <w:sz w:val="17"/>
                <w:szCs w:val="17"/>
              </w:rPr>
              <w:t xml:space="preserve">20–30 págs</w:t>
            </w:r>
            <w:r>
              <w:rPr>
                <w:sz w:val="17"/>
                <w:szCs w:val="17"/>
              </w:rPr>
              <w:t xml:space="preserve"> con Unidades 1+2+3 (stack Docker, gemelo, predicción, agente, Grafana, contexto industrial, reflexión crítica y conclusiones). Defensa de </w:t>
            </w:r>
            <w:r>
              <w:rPr>
                <w:b/>
                <w:bCs/>
                <w:sz w:val="17"/>
                <w:szCs w:val="17"/>
              </w:rPr>
              <w:t xml:space="preserve">20 min</w:t>
            </w:r>
            <w:r>
              <w:rPr>
                <w:sz w:val="17"/>
                <w:szCs w:val="17"/>
              </w:rPr>
              <w:t xml:space="preserve"> (10 demo con una decisión autónoma visible del agente + 10 preguntas de las 3 unidades).</w:t>
            </w:r>
          </w:p>
        </w:tc>
        <w:tc>
          <w:tcPr>
            <w:tcW w:type="dxa" w:w="600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5%</w:t>
            </w:r>
          </w:p>
        </w:tc>
      </w:tr>
    </w:tbl>
    <w:p>
      <w:pPr>
        <w:spacing w:after="120" w:before="60"/>
      </w:pPr>
      <w:r>
        <w:rPr>
          <w:b/>
          <w:bCs/>
          <w:color w:val="444444"/>
          <w:sz w:val="16"/>
          <w:szCs w:val="16"/>
        </w:rPr>
        <w:t xml:space="preserve">Total Unidad 3: 100%.</w:t>
      </w:r>
      <w:r>
        <w:rPr>
          <w:color w:val="444444"/>
          <w:sz w:val="16"/>
          <w:szCs w:val="16"/>
        </w:rPr>
        <w:t xml:space="preserve">  Tópicos nuevos: </w:t>
      </w:r>
      <w:r>
        <w:rPr>
          <w:b/>
          <w:bCs/>
          <w:color w:val="444444"/>
          <w:sz w:val="16"/>
          <w:szCs w:val="16"/>
        </w:rPr>
        <w:t xml:space="preserve">prediccion/temperatura</w:t>
      </w:r>
      <w:r>
        <w:rPr>
          <w:color w:val="444444"/>
          <w:sz w:val="16"/>
          <w:szCs w:val="16"/>
        </w:rPr>
        <w:t xml:space="preserve">, </w:t>
      </w:r>
      <w:r>
        <w:rPr>
          <w:b/>
          <w:bCs/>
          <w:color w:val="444444"/>
          <w:sz w:val="16"/>
          <w:szCs w:val="16"/>
        </w:rPr>
        <w:t xml:space="preserve">prediccion/gas</w:t>
      </w:r>
      <w:r>
        <w:rPr>
          <w:color w:val="444444"/>
          <w:sz w:val="16"/>
          <w:szCs w:val="16"/>
        </w:rPr>
        <w:t xml:space="preserve">, y alerta con campo </w:t>
      </w:r>
      <w:r>
        <w:rPr>
          <w:b/>
          <w:bCs/>
          <w:color w:val="444444"/>
          <w:sz w:val="16"/>
          <w:szCs w:val="16"/>
        </w:rPr>
        <w:t xml:space="preserve">"tipo":"preventiva"</w:t>
      </w:r>
      <w:r>
        <w:rPr>
          <w:color w:val="444444"/>
          <w:sz w:val="16"/>
          <w:szCs w:val="16"/>
        </w:rPr>
        <w:t xml:space="preserve">. Alternativa liviana para predicción: numpy.polyfit grado 1 sobre los últimos ~20 valores (el objetivo es demostrar el concepto, no la precisión).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Checklist de entregables de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Unidad 2 — carpeta unidad2/</w:t>
            </w:r>
          </w:p>
        </w:tc>
        <w:tc>
          <w:tcPr>
            <w:tcW w:type="dxa" w:w="4513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Unidad 3 — carpeta unidad3/</w:t>
            </w:r>
          </w:p>
        </w:tc>
      </w:tr>
      <w:tr>
        <w:tc>
          <w:tcPr>
            <w:tcW w:type="dxa" w:w="4513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sz w:val="17"/>
                <w:szCs w:val="17"/>
              </w:rPr>
              <w:t xml:space="preserve">Firmware ESP32 con soporte TLS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sz w:val="17"/>
                <w:szCs w:val="17"/>
              </w:rPr>
              <w:t xml:space="preserve">Firmware ESP32 con cliente CoAP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sz w:val="17"/>
                <w:szCs w:val="17"/>
              </w:rPr>
              <w:t xml:space="preserve">Flujo Node-RED actualizado (.json)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sz w:val="17"/>
                <w:szCs w:val="17"/>
              </w:rPr>
              <w:t xml:space="preserve">mosquitto.conf + archivo de ACLs</w:t>
            </w:r>
          </w:p>
        </w:tc>
        <w:tc>
          <w:tcPr>
            <w:tcW w:type="dxa" w:w="4513"/>
            <w:tcBorders>
              <w:top w:val="single" w:color="B0B8C0" w:sz="4"/>
              <w:left w:val="single" w:color="B0B8C0" w:sz="4"/>
              <w:bottom w:val="single" w:color="B0B8C0" w:sz="4"/>
              <w:right w:val="single" w:color="B0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sz w:val="17"/>
                <w:szCs w:val="17"/>
              </w:rPr>
              <w:t xml:space="preserve">docker-compose.yml con todos los servicios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sz w:val="17"/>
                <w:szCs w:val="17"/>
              </w:rPr>
              <w:t xml:space="preserve">Script Python de predicción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sz w:val="17"/>
                <w:szCs w:val="17"/>
              </w:rPr>
              <w:t xml:space="preserve">Flujo n8n del agente (.json)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sz w:val="17"/>
                <w:szCs w:val="17"/>
              </w:rPr>
              <w:t xml:space="preserve">Dashboard Grafana (.json)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sz w:val="17"/>
                <w:szCs w:val="17"/>
              </w:rPr>
              <w:t xml:space="preserve">Flujo Node-RED (gemelo + API REST) (.json)</w:t>
            </w:r>
          </w:p>
        </w:tc>
      </w:tr>
    </w:tbl>
    <w:p>
      <w:pPr>
        <w:spacing w:after="60" w:before="140"/>
      </w:pPr>
      <w:r>
        <w:rPr>
          <w:b/>
          <w:bCs/>
          <w:color w:val="444444"/>
          <w:sz w:val="16"/>
          <w:szCs w:val="16"/>
        </w:rPr>
        <w:t xml:space="preserve">Nota de implementación: </w:t>
      </w:r>
      <w:r>
        <w:rPr>
          <w:color w:val="444444"/>
          <w:sz w:val="16"/>
          <w:szCs w:val="16"/>
        </w:rPr>
        <w:t xml:space="preserve">los ejemplos del enunciado mencionan </w:t>
      </w:r>
      <w:r>
        <w:rPr>
          <w:i/>
          <w:iCs/>
          <w:color w:val="444444"/>
          <w:sz w:val="16"/>
          <w:szCs w:val="16"/>
        </w:rPr>
        <w:t xml:space="preserve">gas</w:t>
      </w:r>
      <w:r>
        <w:rPr>
          <w:color w:val="444444"/>
          <w:sz w:val="16"/>
          <w:szCs w:val="16"/>
        </w:rPr>
        <w:t xml:space="preserve">, </w:t>
      </w:r>
      <w:r>
        <w:rPr>
          <w:i/>
          <w:iCs/>
          <w:color w:val="444444"/>
          <w:sz w:val="16"/>
          <w:szCs w:val="16"/>
        </w:rPr>
        <w:t xml:space="preserve">movimiento</w:t>
      </w:r>
      <w:r>
        <w:rPr>
          <w:color w:val="444444"/>
          <w:sz w:val="16"/>
          <w:szCs w:val="16"/>
        </w:rPr>
        <w:t xml:space="preserve"> y </w:t>
      </w:r>
      <w:r>
        <w:rPr>
          <w:i/>
          <w:iCs/>
          <w:color w:val="444444"/>
          <w:sz w:val="16"/>
          <w:szCs w:val="16"/>
        </w:rPr>
        <w:t xml:space="preserve">buzzer</w:t>
      </w:r>
      <w:r>
        <w:rPr>
          <w:color w:val="444444"/>
          <w:sz w:val="16"/>
          <w:szCs w:val="16"/>
        </w:rPr>
        <w:t xml:space="preserve">, pero el hardware de la Unidad 1 mide temperatura, humedad, presión y nivel de audio (con LED como actuador). El enunciado mantiene «la misma jerarquía de tópicos de la Unidad 1», por lo que es válido adaptar prompts, gemelo y predicción a las variables reales del proyecto.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2026-06-17T16:34:29.056Z</dcterms:created>
  <dcterms:modified xsi:type="dcterms:W3CDTF">2026-06-17T16:34:29.057Z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