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8"/>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7"/>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杨成栋</w:t>
            </w:r>
          </w:p>
        </w:tc>
        <w:tc>
          <w:tcPr>
            <w:tcW w:w="1272" w:type="pct"/>
          </w:tcPr>
          <w:p>
            <w:pPr>
              <w:pStyle w:val="7"/>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：前端</w:t>
            </w:r>
          </w:p>
        </w:tc>
        <w:tc>
          <w:tcPr>
            <w:tcW w:w="1101" w:type="pct"/>
          </w:tcPr>
          <w:p>
            <w:pPr>
              <w:pStyle w:val="7"/>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：2021级</w:t>
            </w:r>
          </w:p>
        </w:tc>
        <w:tc>
          <w:tcPr>
            <w:tcW w:w="1440" w:type="pct"/>
          </w:tcPr>
          <w:p>
            <w:pPr>
              <w:pStyle w:val="7"/>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五</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22"/>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w:t>
            </w:r>
            <w:r>
              <w:rPr>
                <w:rFonts w:hint="eastAsia"/>
                <w:b/>
                <w:bCs/>
                <w:color w:val="FFFFFF" w:themeColor="background1"/>
                <w:lang w:val="en-US" w:eastAsia="zh-CN"/>
                <w14:textFill>
                  <w14:solidFill>
                    <w14:schemeClr w14:val="bg1"/>
                  </w14:solidFill>
                </w14:textFill>
              </w:rPr>
              <w:t>五</w:t>
            </w:r>
            <w:r>
              <w:rPr>
                <w:rFonts w:hint="eastAsia"/>
                <w:b/>
                <w:bCs/>
                <w:color w:val="FFFFFF" w:themeColor="background1"/>
                <w14:textFill>
                  <w14:solidFill>
                    <w14:schemeClr w14:val="bg1"/>
                  </w14:solidFill>
                </w14:textFill>
              </w:rPr>
              <w:t>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rPr>
                <w:rFonts w:hint="eastAsia" w:eastAsiaTheme="minorEastAsia"/>
                <w:lang w:eastAsia="zh-CN"/>
              </w:rPr>
            </w:pPr>
            <w:r>
              <w:rPr>
                <w:rFonts w:hint="eastAsia"/>
              </w:rPr>
              <w:t>规律的按照计划完成项目，大体是完成了项目的基本功能。通过</w:t>
            </w:r>
            <w:r>
              <w:t>中期项目考核，</w:t>
            </w:r>
            <w:r>
              <w:rPr>
                <w:rFonts w:hint="eastAsia"/>
              </w:rPr>
              <w:t>有了</w:t>
            </w:r>
            <w:r>
              <w:t>师兄师姐的指点，找出</w:t>
            </w:r>
            <w:r>
              <w:rPr>
                <w:rFonts w:hint="eastAsia"/>
              </w:rPr>
              <w:t>了</w:t>
            </w:r>
            <w:r>
              <w:t>项目中存在的一些关键问题、细节问题</w:t>
            </w:r>
            <w:r>
              <w:rPr>
                <w:rFonts w:hint="eastAsia"/>
              </w:rPr>
              <w:t>，所以最终考核我们都会尽力的避免再次出现这些问题</w:t>
            </w:r>
            <w:r>
              <w:rPr>
                <w:rFonts w:hint="eastAsia"/>
                <w:lang w:eastAsia="zh-CN"/>
              </w:rPr>
              <w:t>。</w:t>
            </w:r>
          </w:p>
          <w:p>
            <w:pPr>
              <w:ind w:firstLine="420" w:firstLineChars="200"/>
              <w:rPr>
                <w:rFonts w:hint="default" w:eastAsiaTheme="minorEastAsia"/>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ind w:firstLine="210" w:firstLineChars="100"/>
            </w:pPr>
            <w:r>
              <w:t>项目管理平台前端监控带来的实际效果：</w:t>
            </w:r>
          </w:p>
          <w:p>
            <w:pPr>
              <w:ind w:firstLine="210" w:firstLineChars="100"/>
            </w:pPr>
            <w:r>
              <w:t>中期考核等其它项目加入了项目管理平台的监控之后，在平台上我们可以清晰的看见这些项目的访问量、各种报错的统计，并根据报错的种类不同去有针对性的解决报错问题。不仅如此，报错数据的可视化展示更能让我们看出错误正常的趋势以及高报错的模块，让我们能在一定程度上去预见错误的发生，有目的的去解决错误。</w:t>
            </w:r>
          </w:p>
          <w:p>
            <w:pPr>
              <w:ind w:firstLine="210" w:firstLineChars="100"/>
            </w:pPr>
            <w:r>
              <w:t>更重要的是，前端监控里的性能监控是真正让我们有所受益的。在以前，如果要对项目的性能进行检测，需要长时期用多台设备在项目中测量性能数据，并且统计不同时段的平均值，数据量大，类型复杂，专业度高，时间跨度大，且有用信息少，收集、管理和测评难度高，很耗人力物力，因此对项目的性能的估算更多是靠用户的体验、评价来得到一个模糊的评级。</w:t>
            </w:r>
          </w:p>
          <w:p>
            <w:r>
              <w:t>而有了项目管理平台之后，我们将性能监控封装起来，在用户访问项目时自动获取信息并且自动筛选有用信息，在后台分时间段按不同粒度建模和处理数据（如统计平均值），并且在前端可视化展示数据处理的结果。无需大量的工作，只需在平台发布项目，安装项目管理平台对应的依赖包，就能自动完成监控工作，实现高自动化；并且所有使用被监控项目的用户都是该项目性能检测的‘样本’，实现数据来源可靠，真实；前端的可视化图表展示，让数据更加直观，易于分析；分粒度查看，不同的时间跨度，让性能监控的结果能加精确、严谨、不再模糊。</w:t>
            </w:r>
          </w:p>
          <w:p>
            <w:pPr>
              <w:ind w:firstLine="210" w:firstLineChars="100"/>
            </w:pPr>
            <w:bookmarkStart w:id="0" w:name="_GoBack"/>
            <w:bookmarkEnd w:id="0"/>
            <w:r>
              <w:t>我们小组也是因此能够详细的了解我们之前做的项目的性能情况。</w:t>
            </w:r>
          </w:p>
          <w:p>
            <w:pPr>
              <w:ind w:firstLine="210" w:firstLineChars="100"/>
              <w:rPr>
                <w:rFonts w:hint="default"/>
                <w:b w:val="0"/>
                <w:bCs w:val="0"/>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r>
              <w:rPr>
                <w:rFonts w:hint="eastAsia"/>
              </w:rPr>
              <w:t>考核过程</w:t>
            </w:r>
            <w:r>
              <w:t>一路下来有风有雨，有阳光有灰暗，一开始做静态页面的时候，因为之前的基础做起来轻轻松松；到后来动态获取、布置数据的时候，又因为对react的不熟悉，步步难行，走一步得查好久的文档，写一段得翻好久的资料，灰暗的阴云笼罩在这片天空上</w:t>
            </w:r>
          </w:p>
          <w:p>
            <w:r>
              <w:t>但是，我</w:t>
            </w:r>
            <w:r>
              <w:rPr>
                <w:rFonts w:hint="eastAsia"/>
              </w:rPr>
              <w:t>们</w:t>
            </w:r>
            <w:r>
              <w:t>坚持到了最后，直到这最后一天，直到这完结之前，我们都没有任何松懈，我们尽了最大的努力，尽管做不到最好，但我们已经做到了我们的最好，但是我相信我们还会更好，我们将继续成长，在这一次的项目经历中，有陪伴，有坚持，即使心很累也会互相搀扶着前进，只为了我们的共同目标。</w:t>
            </w:r>
            <w:r>
              <w:rPr>
                <w:rFonts w:hint="eastAsia"/>
              </w:rPr>
              <w:t>相比于第一次合作开发，这次我们已经熟练许多，成员间关系更紧密了，沟通起来也没有障碍，我相信我们的团队会越来越好。</w:t>
            </w:r>
          </w:p>
          <w:p>
            <w:pPr>
              <w:numPr>
                <w:ilvl w:val="0"/>
                <w:numId w:val="0"/>
              </w:numPr>
              <w:ind w:firstLine="420" w:firstLineChars="200"/>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3"/>
              <w:ind w:left="0" w:leftChars="0" w:firstLine="0" w:firstLineChars="0"/>
              <w:rPr>
                <w:rFonts w:hint="eastAsia"/>
                <w:lang w:val="en-US" w:eastAsia="zh-CN"/>
              </w:rPr>
            </w:pPr>
          </w:p>
          <w:p>
            <w:pPr>
              <w:rPr>
                <w:rFonts w:hint="eastAsia"/>
                <w:lang w:eastAsia="zh-CN"/>
              </w:rPr>
            </w:pPr>
            <w:r>
              <w:rPr>
                <w:rFonts w:hint="eastAsia"/>
              </w:rPr>
              <w:t>这次开发我们多学了一些知识，而且还有了中期的经验，本以为能做得比上次满意，结果却不尽人意，因为考核的难度也相应地提高了，总结时我们发现了很多问题亟待优化。不过总的来说我们是在不断进步的，编程之路，任重而道远呀</w:t>
            </w:r>
            <w:r>
              <w:rPr>
                <w:rFonts w:hint="eastAsia"/>
                <w:lang w:eastAsia="zh-CN"/>
              </w:rPr>
              <w:t>。</w:t>
            </w:r>
          </w:p>
          <w:p>
            <w:pPr>
              <w:rPr>
                <w:rFonts w:hint="default"/>
                <w:lang w:val="en-US" w:eastAsia="zh-CN"/>
              </w:rPr>
            </w:pPr>
            <w:r>
              <w:rPr>
                <w:rFonts w:hint="eastAsia"/>
                <w:lang w:val="en-US" w:eastAsia="zh-CN"/>
              </w:rPr>
              <w:t>对SDK的知识还要继续深入了解，理解好各个名词的意义。</w:t>
            </w:r>
          </w:p>
          <w:p>
            <w:pPr>
              <w:pStyle w:val="23"/>
              <w:ind w:firstLine="420" w:firstLineChars="200"/>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k0ZTkxNGE0YjYzYzcxZmU2YjBlMTVmZDE1OWVmZmY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 w:val="2E025494"/>
    <w:rsid w:val="33EA6F79"/>
    <w:rsid w:val="35136C23"/>
    <w:rsid w:val="357470AE"/>
    <w:rsid w:val="5C227953"/>
    <w:rsid w:val="782A3E84"/>
    <w:rsid w:val="7EC5014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24"/>
    <w:semiHidden/>
    <w:unhideWhenUsed/>
    <w:uiPriority w:val="99"/>
    <w:rPr>
      <w:sz w:val="18"/>
      <w:szCs w:val="18"/>
    </w:rPr>
  </w:style>
  <w:style w:type="paragraph" w:styleId="4">
    <w:name w:val="footer"/>
    <w:basedOn w:val="1"/>
    <w:link w:val="20"/>
    <w:unhideWhenUsed/>
    <w:uiPriority w:val="99"/>
    <w:pPr>
      <w:tabs>
        <w:tab w:val="center" w:pos="4153"/>
        <w:tab w:val="right" w:pos="8306"/>
      </w:tabs>
      <w:snapToGrid w:val="0"/>
      <w:jc w:val="left"/>
    </w:pPr>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rPr>
      <w:sz w:val="24"/>
    </w:rPr>
  </w:style>
  <w:style w:type="paragraph" w:styleId="7">
    <w:name w:val="Title"/>
    <w:basedOn w:val="1"/>
    <w:next w:val="1"/>
    <w:link w:val="21"/>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qFormat/>
    <w:uiPriority w:val="9"/>
    <w:rPr>
      <w:b/>
      <w:bCs/>
      <w:kern w:val="44"/>
      <w:sz w:val="44"/>
      <w:szCs w:val="44"/>
    </w:rPr>
  </w:style>
  <w:style w:type="table" w:customStyle="1" w:styleId="12">
    <w:name w:val="网格表 5 深色 - 着色 51"/>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3">
    <w:name w:val="网格表 1 浅色 - 着色 51"/>
    <w:basedOn w:val="8"/>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4">
    <w:name w:val="网格表 1 浅色 - 着色 21"/>
    <w:basedOn w:val="8"/>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5">
    <w:name w:val="网格表 4 - 着色 51"/>
    <w:basedOn w:val="8"/>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6">
    <w:name w:val="网格表 5 深色 - 着色 61"/>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7">
    <w:name w:val="网格表 6 彩色 - 着色 61"/>
    <w:basedOn w:val="8"/>
    <w:qFormat/>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8">
    <w:name w:val="网格表 4 - 着色 61"/>
    <w:basedOn w:val="8"/>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9">
    <w:name w:val="页眉 字符"/>
    <w:basedOn w:val="10"/>
    <w:link w:val="5"/>
    <w:qFormat/>
    <w:uiPriority w:val="99"/>
    <w:rPr>
      <w:sz w:val="18"/>
      <w:szCs w:val="18"/>
    </w:rPr>
  </w:style>
  <w:style w:type="character" w:customStyle="1" w:styleId="20">
    <w:name w:val="页脚 字符"/>
    <w:basedOn w:val="10"/>
    <w:link w:val="4"/>
    <w:uiPriority w:val="99"/>
    <w:rPr>
      <w:sz w:val="18"/>
      <w:szCs w:val="18"/>
    </w:rPr>
  </w:style>
  <w:style w:type="character" w:customStyle="1" w:styleId="21">
    <w:name w:val="标题 字符"/>
    <w:basedOn w:val="10"/>
    <w:link w:val="7"/>
    <w:qFormat/>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2">
    <w:name w:val="网格表 4 - 着色 21"/>
    <w:basedOn w:val="8"/>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3">
    <w:name w:val="List Paragraph"/>
    <w:basedOn w:val="1"/>
    <w:qFormat/>
    <w:uiPriority w:val="34"/>
    <w:pPr>
      <w:ind w:firstLine="420" w:firstLineChars="200"/>
    </w:pPr>
  </w:style>
  <w:style w:type="character" w:customStyle="1" w:styleId="24">
    <w:name w:val="批注框文本 字符"/>
    <w:basedOn w:val="10"/>
    <w:link w:val="3"/>
    <w:semiHidden/>
    <w:qFormat/>
    <w:uiPriority w:val="99"/>
    <w:rPr>
      <w:sz w:val="18"/>
      <w:szCs w:val="18"/>
    </w:rPr>
  </w:style>
  <w:style w:type="paragraph" w:customStyle="1" w:styleId="25">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md-plain"/>
    <w:basedOn w:val="10"/>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2</Pages>
  <Words>1188</Words>
  <Characters>1198</Characters>
  <Lines>1</Lines>
  <Paragraphs>1</Paragraphs>
  <TotalTime>0</TotalTime>
  <ScaleCrop>false</ScaleCrop>
  <LinksUpToDate>false</LinksUpToDate>
  <CharactersWithSpaces>1205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微信用户</cp:lastModifiedBy>
  <dcterms:modified xsi:type="dcterms:W3CDTF">2022-08-31T07:54:49Z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DF07B01A8EB34BBAA5ED4B8FBD75CCB1</vt:lpwstr>
  </property>
</Properties>
</file>