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f449f7d1dd2e6033f6fb3855b2329747d433547"/>
    <w:p>
      <w:pPr>
        <w:pStyle w:val="Heading1"/>
      </w:pPr>
      <w:r>
        <w:t xml:space="preserve">ResearchConnect AI — System Methodology &amp; Engineering Architecture</w:t>
      </w:r>
    </w:p>
    <w:p>
      <w:pPr>
        <w:pStyle w:val="FirstParagraph"/>
      </w:pPr>
      <w:r>
        <w:rPr>
          <w:b/>
          <w:bCs/>
        </w:rPr>
        <w:t xml:space="preserve">Document Type:</w:t>
      </w:r>
      <w:r>
        <w:t xml:space="preserve"> </w:t>
      </w:r>
      <w:r>
        <w:t xml:space="preserve">Technical Methodology Specification</w:t>
      </w:r>
      <w:r>
        <w:br/>
      </w:r>
      <w:r>
        <w:rPr>
          <w:b/>
          <w:bCs/>
        </w:rPr>
        <w:t xml:space="preserve">Project:</w:t>
      </w:r>
      <w:r>
        <w:t xml:space="preserve"> </w:t>
      </w:r>
      <w:r>
        <w:t xml:space="preserve">ResearchConnect AI (Academic Intelligence &amp; Discovery Platform)</w:t>
      </w:r>
      <w:r>
        <w:br/>
      </w:r>
      <w:r>
        <w:rPr>
          <w:b/>
          <w:bCs/>
        </w:rPr>
        <w:t xml:space="preserve">Target Audience:</w:t>
      </w:r>
      <w:r>
        <w:t xml:space="preserve"> </w:t>
      </w:r>
      <w:r>
        <w:t xml:space="preserve">Academic Reviewers, Examiners, Engineering Team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Validated against Repository Implementation (Phases 1–5)</w:t>
      </w:r>
    </w:p>
    <w:p>
      <w:r>
        <w:pict>
          <v:rect style="width:0;height:1.5pt" o:hralign="center" o:hrstd="t" o:hr="t"/>
        </w:pict>
      </w:r>
    </w:p>
    <w:bookmarkStart w:id="11" w:name="X3a8477ccc04a9819f8f76f131f53141805d4978"/>
    <w:p>
      <w:pPr>
        <w:pStyle w:val="Heading2"/>
      </w:pPr>
      <w:r>
        <w:t xml:space="preserve">1. Research Philosophy &amp; Methodological Framework</w:t>
      </w:r>
    </w:p>
    <w:bookmarkStart w:id="9" w:name="core-problem-statement"/>
    <w:p>
      <w:pPr>
        <w:pStyle w:val="Heading3"/>
      </w:pPr>
      <w:r>
        <w:t xml:space="preserve">1.1 Core Problem Statement</w:t>
      </w:r>
    </w:p>
    <w:p>
      <w:pPr>
        <w:pStyle w:val="FirstParagraph"/>
      </w:pPr>
      <w:r>
        <w:t xml:space="preserve">In scholarly communication, researchers face fragmented venue discovery, deceptive/predatory publishing venues, deadline timezone confusion (e.g., Anywhere on Earth vs. UTC), and generic recommendations detached from their actual publication history.</w:t>
      </w:r>
    </w:p>
    <w:bookmarkEnd w:id="9"/>
    <w:bookmarkStart w:id="10" w:name="methodological-principles"/>
    <w:p>
      <w:pPr>
        <w:pStyle w:val="Heading3"/>
      </w:pPr>
      <w:r>
        <w:t xml:space="preserve">1.2 Methodological Principles</w:t>
      </w:r>
    </w:p>
    <w:p>
      <w:pPr>
        <w:pStyle w:val="FirstParagraph"/>
      </w:pPr>
      <w:r>
        <w:t xml:space="preserve">Rather than deploying unexplainable, black-box deep learning models that suffer from data sparsity and hallucinations, ResearchConnect AI adheres to four foundational engineering principles: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CORE METHODOLOGICAL PRINCIPLES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├──────────────────────────┬──────────────────────────────────────────────┤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1. Complete Separation   │ Actionable calls (opportunities) are strictly │</w:t>
      </w:r>
      <w:r>
        <w:br/>
      </w:r>
      <w:r>
        <w:rPr>
          <w:rStyle w:val="VerbatimChar"/>
        </w:rPr>
        <w:t xml:space="preserve">│    of Domains            │ separated from canonical literature (works). │</w:t>
      </w:r>
      <w:r>
        <w:br/>
      </w:r>
      <w:r>
        <w:rPr>
          <w:rStyle w:val="VerbatimChar"/>
        </w:rPr>
        <w:t xml:space="preserve">├──────────────────────────┼──────────────────────────────────────────────┤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2. Relevance Dominance   │ Core academic relevance must always account  │</w:t>
      </w:r>
      <w:r>
        <w:br/>
      </w:r>
      <w:r>
        <w:rPr>
          <w:rStyle w:val="VerbatimChar"/>
        </w:rPr>
        <w:t xml:space="preserve">│    Invariant (&gt;= 85%)    │ for &gt;= 85% of total ranking weight.         │</w:t>
      </w:r>
      <w:r>
        <w:br/>
      </w:r>
      <w:r>
        <w:rPr>
          <w:rStyle w:val="VerbatimChar"/>
        </w:rPr>
        <w:t xml:space="preserve">├──────────────────────────┼──────────────────────────────────────────────┤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3. Deterministic &amp;       │ Every score, tie-break, and recommendation   │</w:t>
      </w:r>
      <w:r>
        <w:br/>
      </w:r>
      <w:r>
        <w:rPr>
          <w:rStyle w:val="VerbatimChar"/>
        </w:rPr>
        <w:t xml:space="preserve">│    Auditable Logic       │ has an explicit mathematical audit trail.    │</w:t>
      </w:r>
      <w:r>
        <w:br/>
      </w:r>
      <w:r>
        <w:rPr>
          <w:rStyle w:val="VerbatimChar"/>
        </w:rPr>
        <w:t xml:space="preserve">├──────────────────────────┼──────────────────────────────────────────────┤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4. Governed Adaptation   │ Behavioral feedback cannot override explicit │</w:t>
      </w:r>
      <w:r>
        <w:br/>
      </w:r>
      <w:r>
        <w:rPr>
          <w:rStyle w:val="VerbatimChar"/>
        </w:rPr>
        <w:t xml:space="preserve">│    with Hysteresis       │ exclusions; 5-state FSM prevents drift.     │</w:t>
      </w:r>
      <w:r>
        <w:br/>
      </w:r>
      <w:r>
        <w:rPr>
          <w:rStyle w:val="VerbatimChar"/>
        </w:rPr>
        <w:t xml:space="preserve">└──────────────────────────┴──────────────────────────────────────────────┘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X4bf8a02e5b39b0664e1c6e733e4aa9df86907e3"/>
    <w:p>
      <w:pPr>
        <w:pStyle w:val="Heading2"/>
      </w:pPr>
      <w:r>
        <w:t xml:space="preserve">2. Data Acquisition &amp; Knowledge Engineering Methodology</w:t>
      </w:r>
    </w:p>
    <w:p>
      <w:pPr>
        <w:pStyle w:val="FirstParagraph"/>
      </w:pPr>
      <w:r>
        <w:t xml:space="preserve">The platform ingests, normalizes, and disambiguates scholarly data from three distinct sources across two isolated functional layers:</w:t>
      </w:r>
    </w:p>
    <w:p>
      <w:pPr>
        <w:pStyle w:val="SourceCode"/>
      </w:pPr>
      <w:r>
        <w:rPr>
          <w:rStyle w:val="VerbatimChar"/>
        </w:rPr>
        <w:t xml:space="preserve">                               DATA ACQUISITION PIPELINE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┌─────────────────────────────┼─────────────────────────────┐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▼                             ▼                             ▼</w:t>
      </w:r>
      <w:r>
        <w:br/>
      </w:r>
      <w:r>
        <w:rPr>
          <w:rStyle w:val="VerbatimChar"/>
        </w:rPr>
        <w:t xml:space="preserve">       [WikiCFP]                     [OpenAlex]                     [Crossref]</w:t>
      </w:r>
      <w:r>
        <w:br/>
      </w:r>
      <w:r>
        <w:rPr>
          <w:rStyle w:val="VerbatimChar"/>
        </w:rPr>
        <w:t xml:space="preserve">  Call for Papers (HTML)       Scholarly Works &amp; Authors      Authoritative DOIs &amp; Dates</w:t>
      </w:r>
      <w:r>
        <w:br/>
      </w:r>
      <w:r>
        <w:rPr>
          <w:rStyle w:val="VerbatimChar"/>
        </w:rPr>
        <w:t xml:space="preserve">            │                             │                             │</w:t>
      </w:r>
      <w:r>
        <w:br/>
      </w:r>
      <w:r>
        <w:rPr>
          <w:rStyle w:val="VerbatimChar"/>
        </w:rPr>
        <w:t xml:space="preserve">            ▼                             ▼                             ▼</w:t>
      </w:r>
      <w:r>
        <w:br/>
      </w:r>
      <w:r>
        <w:rPr>
          <w:rStyle w:val="VerbatimChar"/>
        </w:rPr>
        <w:t xml:space="preserve">  BeautifulSoup4 Scraper        Abstract Reconstruction           DOI Canonicalizer</w:t>
      </w:r>
      <w:r>
        <w:br/>
      </w:r>
      <w:r>
        <w:rPr>
          <w:rStyle w:val="VerbatimChar"/>
        </w:rPr>
        <w:t xml:space="preserve">  (scrapers/wikicfp/)           (scrapers/openalex/)          (scrapers/crossref/)</w:t>
      </w:r>
      <w:r>
        <w:br/>
      </w:r>
      <w:r>
        <w:rPr>
          <w:rStyle w:val="VerbatimChar"/>
        </w:rPr>
        <w:t xml:space="preserve">            │                             │                             │</w:t>
      </w:r>
      <w:r>
        <w:br/>
      </w:r>
      <w:r>
        <w:rPr>
          <w:rStyle w:val="VerbatimChar"/>
        </w:rPr>
        <w:t xml:space="preserve">            ▼         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[OPPORTUNITIES]                                      ▼</w:t>
      </w:r>
      <w:r>
        <w:br/>
      </w:r>
      <w:r>
        <w:rPr>
          <w:rStyle w:val="VerbatimChar"/>
        </w:rPr>
        <w:t xml:space="preserve">  opportunities table                        [RESEARCH KNOWLEDGE LAYER]</w:t>
      </w:r>
      <w:r>
        <w:br/>
      </w:r>
      <w:r>
        <w:rPr>
          <w:rStyle w:val="VerbatimChar"/>
        </w:rPr>
        <w:t xml:space="preserve">  - Conference tracks                        - research_works (DOI, vector)</w:t>
      </w:r>
      <w:r>
        <w:br/>
      </w:r>
      <w:r>
        <w:rPr>
          <w:rStyle w:val="VerbatimChar"/>
        </w:rPr>
        <w:t xml:space="preserve">  - Submission deadlines                     - researchers (ORCID, metrics)</w:t>
      </w:r>
      <w:r>
        <w:br/>
      </w:r>
      <w:r>
        <w:rPr>
          <w:rStyle w:val="VerbatimChar"/>
        </w:rPr>
        <w:t xml:space="preserve">  - Delivery modes                           - institutions (ROR, country)</w:t>
      </w:r>
      <w:r>
        <w:br/>
      </w:r>
      <w:r>
        <w:rPr>
          <w:rStyle w:val="VerbatimChar"/>
        </w:rPr>
        <w:t xml:space="preserve">                                             - research_work_authors</w:t>
      </w:r>
    </w:p>
    <w:bookmarkStart w:id="12" w:name="domain-separation-methodology"/>
    <w:p>
      <w:pPr>
        <w:pStyle w:val="Heading3"/>
      </w:pPr>
      <w:r>
        <w:t xml:space="preserve">2.1 Domain Separation Methodology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opportunities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: Stores actionable future calls (conferences, journals, workshops) with deadlines, tracks, and submission guidelines.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research_works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: Stores past peer-reviewed publications. Literature and actionable calls are never mixed into the same relational table.</w:t>
      </w:r>
    </w:p>
    <w:bookmarkEnd w:id="12"/>
    <w:bookmarkStart w:id="13" w:name="entity-disambiguation-canonicalization"/>
    <w:p>
      <w:pPr>
        <w:pStyle w:val="Heading3"/>
      </w:pPr>
      <w:r>
        <w:t xml:space="preserve">2.2 Entity Disambiguation &amp; Canonicalization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DOI Canonicalization Algorithm</w:t>
      </w:r>
      <w:r>
        <w:t xml:space="preserve"> </w:t>
      </w:r>
      <w:r>
        <w:t xml:space="preserve">(</w:t>
      </w:r>
      <w:r>
        <w:rPr>
          <w:rStyle w:val="VerbatimChar"/>
        </w:rPr>
        <w:t xml:space="preserve">scrapers/crossref/doi_utils.py</w:t>
      </w:r>
      <w:r>
        <w:t xml:space="preserve">):</w:t>
      </w:r>
    </w:p>
    <w:p>
      <w:pPr>
        <w:pStyle w:val="Compact"/>
        <w:numPr>
          <w:ilvl w:val="1"/>
          <w:numId w:val="1003"/>
        </w:numPr>
      </w:pPr>
      <w:r>
        <w:t xml:space="preserve">Strips HTTP schemes and resolver prefixes (</w:t>
      </w:r>
      <w:r>
        <w:rPr>
          <w:rStyle w:val="VerbatimChar"/>
        </w:rPr>
        <w:t xml:space="preserve">https://doi.org/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http://dx.doi.org/</w:t>
      </w:r>
      <w:r>
        <w:t xml:space="preserve">,</w:t>
      </w:r>
      <w:r>
        <w:t xml:space="preserve"> </w:t>
      </w:r>
      <w:r>
        <w:rPr>
          <w:rStyle w:val="VerbatimChar"/>
        </w:rPr>
        <w:t xml:space="preserve">doi: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URL-decodes safe entities (</w:t>
      </w:r>
      <w:r>
        <w:rPr>
          <w:rStyle w:val="VerbatimChar"/>
        </w:rPr>
        <w:t xml:space="preserve">%2F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/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Normalizes directory prefix (</w:t>
      </w:r>
      <w:r>
        <w:rPr>
          <w:rStyle w:val="VerbatimChar"/>
        </w:rPr>
        <w:t xml:space="preserve">10.xxxx/</w:t>
      </w:r>
      <w:r>
        <w:t xml:space="preserve">) to lowercase while preserving case-sensitive suffix characters.</w:t>
      </w:r>
    </w:p>
    <w:p>
      <w:pPr>
        <w:pStyle w:val="Compact"/>
        <w:numPr>
          <w:ilvl w:val="1"/>
          <w:numId w:val="1003"/>
        </w:numPr>
      </w:pPr>
      <w:r>
        <w:t xml:space="preserve">Cleans accidental trailing punctuation (dots, slashes, whitespace).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Abstract Inverted Index Reconstruction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scrapers/openalex/abstract_utils.py</w:t>
      </w:r>
      <w:r>
        <w:t xml:space="preserve">):</w:t>
      </w:r>
    </w:p>
    <w:p>
      <w:pPr>
        <w:pStyle w:val="Compact"/>
        <w:numPr>
          <w:ilvl w:val="1"/>
          <w:numId w:val="1004"/>
        </w:numPr>
      </w:pPr>
      <w:r>
        <w:t xml:space="preserve">OpenAlex encodes abstracts as inverted index maps (</w:t>
      </w:r>
      <w:r>
        <w:rPr>
          <w:rStyle w:val="VerbatimChar"/>
        </w:rPr>
        <w:t xml:space="preserve">{"word": [pos1, pos2]}</w:t>
      </w:r>
      <w:r>
        <w:t xml:space="preserve">).</w:t>
      </w:r>
    </w:p>
    <w:p>
      <w:pPr>
        <w:pStyle w:val="Compact"/>
        <w:numPr>
          <w:ilvl w:val="1"/>
          <w:numId w:val="1004"/>
        </w:numPr>
      </w:pPr>
      <w:r>
        <w:t xml:space="preserve">The engine reconstructs these into clean, continuous prose for semantic embedding generation and full-text search indexing.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Canonical Identifiers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ORCID</w:t>
      </w:r>
      <w:r>
        <w:t xml:space="preserve"> </w:t>
      </w:r>
      <w:r>
        <w:t xml:space="preserve">(</w:t>
      </w:r>
      <w:r>
        <w:rPr>
          <w:rStyle w:val="VerbatimChar"/>
        </w:rPr>
        <w:t xml:space="preserve">0000-xxxx-xxxx-xxxx</w:t>
      </w:r>
      <w:r>
        <w:t xml:space="preserve">): Used for globally unique author disambiguation, preventing homonym collisions.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ROR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https://ror.org/...</w:t>
      </w:r>
      <w:r>
        <w:t xml:space="preserve">): Standardizes institution identities, eliminating naming variants (e.g.,</w:t>
      </w:r>
      <w:r>
        <w:t xml:space="preserve"> </w:t>
      </w:r>
      <w:r>
        <w:t xml:space="preserve">“MIT”</w:t>
      </w:r>
      <w:r>
        <w:t xml:space="preserve"> </w:t>
      </w:r>
      <w:r>
        <w:t xml:space="preserve">vs. </w:t>
      </w:r>
      <w:r>
        <w:t xml:space="preserve">“Massachusetts Institute of Technology”</w:t>
      </w:r>
      <w:r>
        <w:t xml:space="preserve">).</w:t>
      </w:r>
    </w:p>
    <w:bookmarkEnd w:id="13"/>
    <w:bookmarkStart w:id="14" w:name="tier-researcher-identity-architecture"/>
    <w:p>
      <w:pPr>
        <w:pStyle w:val="Heading3"/>
      </w:pPr>
      <w:r>
        <w:t xml:space="preserve">2.3 4-Tier Researcher Identity Architecture</w:t>
      </w:r>
    </w:p>
    <w:p>
      <w:pPr>
        <w:pStyle w:val="FirstParagraph"/>
      </w:pPr>
      <w:r>
        <w:t xml:space="preserve">To support students, faculty, and administrators without duplicating author profiles: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UserModel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1:1</m:t>
              </m:r>
            </m:lim>
          </m:limUpp>
          <m:r>
            <m:rPr>
              <m:nor/>
              <m:sty m:val="p"/>
            </m:rPr>
            <m:t>ResearchProfileModel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N:1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ResearcherModel (Canonical Author)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InstitutionModel (Canonical Institution)</m:t>
                    </m:r>
                  </m:e>
                </m:mr>
              </m:m>
            </m:e>
          </m:d>
        </m:oMath>
      </m:oMathPara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UserModel</w:t>
      </w:r>
      <w:r>
        <w:t xml:space="preserve">: Manages login credentials, password hashing, and system roles (</w:t>
      </w:r>
      <w:r>
        <w:rPr>
          <w:rStyle w:val="VerbatimChar"/>
        </w:rPr>
        <w:t xml:space="preserve">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FACULTY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ResearchProfileModel</w:t>
      </w:r>
      <w:r>
        <w:t xml:space="preserve">: Stores user bio, academic status, and fallback strings.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ResearcherModel</w:t>
      </w:r>
      <w:r>
        <w:t xml:space="preserve">: Maps to the global OpenAlex author record (</w:t>
      </w:r>
      <w:r>
        <w:rPr>
          <w:rStyle w:val="VerbatimChar"/>
        </w:rPr>
        <w:t xml:space="preserve">A...</w:t>
      </w:r>
      <w:r>
        <w:t xml:space="preserve">) with verified citation counts.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InstitutionModel</w:t>
      </w:r>
      <w:r>
        <w:t xml:space="preserve">: Maps to canonical ROR institutional registries.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multi-channel-retrieval-methodology"/>
    <w:p>
      <w:pPr>
        <w:pStyle w:val="Heading2"/>
      </w:pPr>
      <w:r>
        <w:t xml:space="preserve">3. Multi-Channel Retrieval Methodology</w:t>
      </w:r>
    </w:p>
    <w:p>
      <w:pPr>
        <w:pStyle w:val="FirstParagraph"/>
      </w:pPr>
      <w:r>
        <w:t xml:space="preserve">When a literature search or recommendation query is executed, the platform queries three orthogonal retrieval channels:</w:t>
      </w:r>
    </w:p>
    <w:p>
      <w:pPr>
        <w:pStyle w:val="SourceCode"/>
      </w:pPr>
      <w:r>
        <w:rPr>
          <w:rStyle w:val="VerbatimChar"/>
        </w:rPr>
        <w:t xml:space="preserve">                                  INPUT QUERY / RESEARCHER PROFILE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┌────────────────────────────────────┼────────────────────────────────────┐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▼                                    ▼                                    ▼</w:t>
      </w:r>
      <w:r>
        <w:br/>
      </w:r>
      <w:r>
        <w:rPr>
          <w:rStyle w:val="VerbatimChar"/>
        </w:rPr>
        <w:t xml:space="preserve">   [Channel 1: Dense Vector]           [Channel 2: Lexical FTS]           [Channel 3: Topic DAG]</w:t>
      </w:r>
      <w:r>
        <w:br/>
      </w:r>
      <w:r>
        <w:rPr>
          <w:rStyle w:val="VerbatimChar"/>
        </w:rPr>
        <w:t xml:space="preserve">- all-MiniLM-L6-v2 (384-dim)        - PostgreSQL tsvector              - Canonical Topic IDs</w:t>
      </w:r>
      <w:r>
        <w:br/>
      </w:r>
      <w:r>
        <w:rPr>
          <w:rStyle w:val="VerbatimChar"/>
        </w:rPr>
        <w:t xml:space="preserve">- L2-normalized embedding           - Weighted fields:                 - Taxonomy hierarchy proximity</w:t>
      </w:r>
      <w:r>
        <w:br/>
      </w:r>
      <w:r>
        <w:rPr>
          <w:rStyle w:val="VerbatimChar"/>
        </w:rPr>
        <w:t xml:space="preserve">- pgvector Cosine Distance (&lt;=&gt;)      Title (A: 1.0), Abstract (B: 0.4) - Alias expansion</w:t>
      </w:r>
      <w:r>
        <w:br/>
      </w:r>
      <w:r>
        <w:rPr>
          <w:rStyle w:val="VerbatimChar"/>
        </w:rPr>
        <w:t xml:space="preserve">            │                                    │   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└────────────────────────────────────┼────────────────────────────────────┘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[Reciprocal Rank Fusion (RRF)]</w:t>
      </w:r>
      <w:r>
        <w:br/>
      </w:r>
      <w:r>
        <w:rPr>
          <w:rStyle w:val="VerbatimChar"/>
        </w:rPr>
        <w:t xml:space="preserve">                                        k = 60 constant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FUSED CANDIDATE POOL</w:t>
      </w:r>
    </w:p>
    <w:bookmarkStart w:id="16" w:name="Xa840659e31f9a0895c3b4416d7b14c006062eef"/>
    <w:p>
      <w:pPr>
        <w:pStyle w:val="Heading3"/>
      </w:pPr>
      <w:r>
        <w:t xml:space="preserve">3.1 Channel 1: Dense Vector Retrieval (pgvector)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</w:t>
      </w:r>
      <w:r>
        <w:t xml:space="preserve">: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sentence-transformers</w:t>
      </w:r>
      <w:r>
        <w:t xml:space="preserve"> </w:t>
      </w:r>
      <w:r>
        <w:t xml:space="preserve">(384 dimensions, local CPU inference).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Storage</w:t>
      </w:r>
      <w:r>
        <w:t xml:space="preserve">: Custom</w:t>
      </w:r>
      <w:r>
        <w:t xml:space="preserve"> </w:t>
      </w:r>
      <w:r>
        <w:rPr>
          <w:rStyle w:val="VerbatimChar"/>
        </w:rPr>
        <w:t xml:space="preserve">Vector(384)</w:t>
      </w:r>
      <w:r>
        <w:t xml:space="preserve"> </w:t>
      </w:r>
      <w:r>
        <w:t xml:space="preserve">user-defined SQLAlchemy type mapped to native PostgreSQL</w:t>
      </w:r>
      <w:r>
        <w:t xml:space="preserve"> </w:t>
      </w:r>
      <w:r>
        <w:rPr>
          <w:rStyle w:val="VerbatimChar"/>
        </w:rPr>
        <w:t xml:space="preserve">vector(384)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Distance Metric</w:t>
      </w:r>
      <w:r>
        <w:t xml:space="preserve">: Cosine similarity via</w:t>
      </w:r>
      <w:r>
        <w:t xml:space="preserve"> </w:t>
      </w:r>
      <w:r>
        <w:rPr>
          <w:rStyle w:val="VerbatimChar"/>
        </w:rPr>
        <w:t xml:space="preserve">&lt;=&gt;</w:t>
      </w:r>
      <w:r>
        <w:t xml:space="preserve"> </w:t>
      </w:r>
      <w:r>
        <w:t xml:space="preserve">operator: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Cosine Distance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num>
            <m:den>
              <m:r>
                <m:rPr>
                  <m:sty m:val="p"/>
                </m:rPr>
                <m:t>∥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∥</m:t>
              </m:r>
              <m:r>
                <m:t>v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Change Detection</w:t>
      </w:r>
      <w:r>
        <w:t xml:space="preserve">: Each work and opportunity maintains a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(SHA-256 of title + abstract) to eliminate redundant embedding re-computations.</w:t>
      </w:r>
    </w:p>
    <w:bookmarkEnd w:id="16"/>
    <w:bookmarkStart w:id="17" w:name="Xaaa5dde092b32230f681d186623cf2d06e54135"/>
    <w:p>
      <w:pPr>
        <w:pStyle w:val="Heading3"/>
      </w:pPr>
      <w:r>
        <w:t xml:space="preserve">3.2 Channel 2: Full-Text Search (PostgreSQL GIN)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Engine</w:t>
      </w:r>
      <w:r>
        <w:t xml:space="preserve">: Native PostgreSQL</w:t>
      </w:r>
      <w:r>
        <w:t xml:space="preserve"> </w:t>
      </w:r>
      <w:r>
        <w:rPr>
          <w:rStyle w:val="VerbatimChar"/>
        </w:rPr>
        <w:t xml:space="preserve">tsvector</w:t>
      </w:r>
      <w:r>
        <w:t xml:space="preserve"> </w:t>
      </w:r>
      <w:r>
        <w:t xml:space="preserve">with GIN indexing (</w:t>
      </w:r>
      <w:r>
        <w:rPr>
          <w:rStyle w:val="VerbatimChar"/>
        </w:rPr>
        <w:t xml:space="preserve">0007_phase2_4i_fts_gin_indexes.py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Weighting</w:t>
      </w:r>
      <w:r>
        <w:t xml:space="preserve">: Title terms are assigned weight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(1.0); abstract terms are assigned weight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(0.4).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Query Parsing</w:t>
      </w:r>
      <w:r>
        <w:t xml:space="preserve">: Employs</w:t>
      </w:r>
      <w:r>
        <w:t xml:space="preserve"> </w:t>
      </w:r>
      <w:r>
        <w:rPr>
          <w:rStyle w:val="VerbatimChar"/>
        </w:rPr>
        <w:t xml:space="preserve">websearch_to_tsquery</w:t>
      </w:r>
      <w:r>
        <w:t xml:space="preserve"> </w:t>
      </w:r>
      <w:r>
        <w:t xml:space="preserve">to support boolean operators, exact phrase quotes, and hyphenated exclusions.</w:t>
      </w:r>
    </w:p>
    <w:bookmarkEnd w:id="17"/>
    <w:bookmarkStart w:id="18" w:name="channel-3-canonical-topic-taxonomy-dag"/>
    <w:p>
      <w:pPr>
        <w:pStyle w:val="Heading3"/>
      </w:pPr>
      <w:r>
        <w:t xml:space="preserve">3.3 Channel 3: Canonical Topic Taxonomy DAG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Graph Traversal</w:t>
      </w:r>
      <w:r>
        <w:t xml:space="preserve">: Topics are organized in a Directed Acyclic Graph (DAG) with parent-child hierarchical relations.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Proximity Expansion</w:t>
      </w:r>
      <w:r>
        <w:t xml:space="preserve">: Query terms expand across mapped aliases (</w:t>
      </w:r>
      <w:r>
        <w:rPr>
          <w:rStyle w:val="VerbatimChar"/>
        </w:rPr>
        <w:t xml:space="preserve">TopicAliasModel</w:t>
      </w:r>
      <w:r>
        <w:t xml:space="preserve">) and immediate taxonomy parents/children to capture conceptual synonyms.</w:t>
      </w:r>
    </w:p>
    <w:bookmarkEnd w:id="18"/>
    <w:bookmarkStart w:id="19" w:name="Xff1691b98467117288284ad10da56b336670ea3"/>
    <w:p>
      <w:pPr>
        <w:pStyle w:val="Heading3"/>
      </w:pPr>
      <w:r>
        <w:t xml:space="preserve">3.4 Candidate Fusion via Reciprocal Rank Fusion (RRF)</w:t>
      </w:r>
    </w:p>
    <w:p>
      <w:pPr>
        <w:pStyle w:val="FirstParagraph"/>
      </w:pPr>
      <w:r>
        <w:t xml:space="preserve">Candidates discovered across channels are fused into a unified pool using RRF with smoothing constant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R</m:t>
          </m:r>
          <m:r>
            <m:t>F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nor/>
                  <m:sty m:val="p"/>
                </m:rPr>
                <m:t>Channels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the 1-based rank of candidate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channel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Xf916d9ac0a73953b6d928a41b8e1047449fabce"/>
    <w:p>
      <w:pPr>
        <w:pStyle w:val="Heading2"/>
      </w:pPr>
      <w:r>
        <w:t xml:space="preserve">4. Trust, Predatory Risk, &amp; Temporal Intelligence Methodology</w:t>
      </w:r>
    </w:p>
    <w:p>
      <w:pPr>
        <w:pStyle w:val="FirstParagraph"/>
      </w:pPr>
      <w:r>
        <w:t xml:space="preserve">Before opportunities enter the ranking engine, they pass through two specialized intelligence filters:</w:t>
      </w:r>
    </w:p>
    <w:bookmarkStart w:id="21" w:name="X52cb501d83cb9842c4e75d15592d097a99b5902"/>
    <w:p>
      <w:pPr>
        <w:pStyle w:val="Heading3"/>
      </w:pPr>
      <w:r>
        <w:t xml:space="preserve">4.1 Predatory Risk Intelligence Engine (</w:t>
      </w:r>
      <w:r>
        <w:rPr>
          <w:rStyle w:val="VerbatimChar"/>
        </w:rPr>
        <w:t xml:space="preserve">RiskScoringEngine</w:t>
      </w:r>
      <w:r>
        <w:t xml:space="preserve">)</w:t>
      </w:r>
    </w:p>
    <w:p>
      <w:pPr>
        <w:pStyle w:val="FirstParagraph"/>
      </w:pPr>
      <w:r>
        <w:t xml:space="preserve">The risk engine audits venue trustworthiness across four heuristic dimensions: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Indexing Verification</w:t>
      </w:r>
      <w:r>
        <w:t xml:space="preserve">: Checks inclusion in verified academic registries (DOAJ, Scopus, Web of Science, DBLP).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Publisher &amp; ISSN Integrity</w:t>
      </w:r>
      <w:r>
        <w:t xml:space="preserve">: Audits linking ISSNs (</w:t>
      </w:r>
      <w:r>
        <w:rPr>
          <w:rStyle w:val="VerbatimChar"/>
        </w:rPr>
        <w:t xml:space="preserve">issn_l</w:t>
      </w:r>
      <w:r>
        <w:t xml:space="preserve">) against flagged lists and hijacked domain databases.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Editorial Timeline Plausibility</w:t>
      </w:r>
      <w:r>
        <w:t xml:space="preserve">: Detects unrealistically rapid turnaround promises (e.g.,</w:t>
      </w:r>
      <w:r>
        <w:t xml:space="preserve"> </w:t>
      </w:r>
      <w:r>
        <w:rPr>
          <w:i/>
          <w:iCs/>
        </w:rPr>
        <w:t xml:space="preserve">“peer review in 48 hours”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Scoring Output</w:t>
      </w:r>
      <w:r>
        <w:t xml:space="preserve">: Generates a continuous score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risk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0.0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]</m:t>
        </m:r>
      </m:oMath>
      <w:r>
        <w:t xml:space="preserve"> </w:t>
      </w:r>
      <w:r>
        <w:t xml:space="preserve">and categorizes candidates into: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LOW_RISK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risk</m:t>
            </m:r>
          </m:sub>
        </m:sSub>
        <m:r>
          <m:rPr>
            <m:sty m:val="p"/>
          </m:rPr>
          <m:t>&lt;</m:t>
        </m:r>
        <m:r>
          <m:t>0.35</m:t>
        </m:r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MEDIUM_RISK</w:t>
      </w:r>
      <w:r>
        <w:t xml:space="preserve"> </w:t>
      </w:r>
      <w:r>
        <w:t xml:space="preserve">(</w:t>
      </w:r>
      <m:oMath>
        <m:r>
          <m:t>0.35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risk</m:t>
            </m:r>
          </m:sub>
        </m:sSub>
        <m:r>
          <m:rPr>
            <m:sty m:val="p"/>
          </m:rPr>
          <m:t>&lt;</m:t>
        </m:r>
        <m:r>
          <m:t>0.70</m:t>
        </m:r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HIGH_RISK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risk</m:t>
            </m:r>
          </m:sub>
        </m:sSub>
        <m:r>
          <m:rPr>
            <m:sty m:val="p"/>
          </m:rPr>
          <m:t>≥</m:t>
        </m:r>
        <m:r>
          <m:t>0.70</m:t>
        </m:r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Safety Invariant</w:t>
      </w:r>
      <w:r>
        <w:t xml:space="preserve">: Any candidate with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risk</m:t>
            </m:r>
          </m:sub>
        </m:sSub>
        <m:r>
          <m:rPr>
            <m:sty m:val="p"/>
          </m:rPr>
          <m:t>≥</m:t>
        </m:r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is_predatory_flag == True</w:t>
      </w:r>
      <w:r>
        <w:t xml:space="preserve"> </w:t>
      </w:r>
      <w:r>
        <w:t xml:space="preserve">receives</w:t>
      </w:r>
      <w:r>
        <w:t xml:space="preserve"> </w:t>
      </w:r>
      <w:r>
        <w:rPr>
          <w:b/>
          <w:bCs/>
        </w:rPr>
        <w:t xml:space="preserve">zero personalization adjustment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adj</m:t>
            </m:r>
          </m:sub>
        </m:sSub>
        <m:r>
          <m:rPr>
            <m:sty m:val="p"/>
          </m:rPr>
          <m:t>=</m:t>
        </m:r>
        <m:r>
          <m:t>0.0</m:t>
        </m:r>
      </m:oMath>
      <w:r>
        <w:t xml:space="preserve">).</w:t>
      </w:r>
    </w:p>
    <w:bookmarkEnd w:id="21"/>
    <w:bookmarkStart w:id="22" w:name="X9c31a0d17c840da909e54f3fea264f58959f780"/>
    <w:p>
      <w:pPr>
        <w:pStyle w:val="Heading3"/>
      </w:pPr>
      <w:r>
        <w:t xml:space="preserve">4.2 Deadline Intelligence &amp; Urgency Engine (</w:t>
      </w:r>
      <w:r>
        <w:rPr>
          <w:rStyle w:val="VerbatimChar"/>
        </w:rPr>
        <w:t xml:space="preserve">DeadlineNormalizer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Timezone Normalization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Academic CFPs frequently use</w:t>
      </w:r>
      <w:r>
        <w:t xml:space="preserve"> </w:t>
      </w:r>
      <w:r>
        <w:rPr>
          <w:i/>
          <w:iCs/>
        </w:rPr>
        <w:t xml:space="preserve">Anywhere on Earth</w:t>
      </w:r>
      <w:r>
        <w:t xml:space="preserve"> </w:t>
      </w:r>
      <w:r>
        <w:t xml:space="preserve">(AoE / UTC-12:00).</w:t>
      </w:r>
    </w:p>
    <w:p>
      <w:pPr>
        <w:pStyle w:val="Compact"/>
        <w:numPr>
          <w:ilvl w:val="1"/>
          <w:numId w:val="1011"/>
        </w:numPr>
      </w:pPr>
      <w:r>
        <w:t xml:space="preserve">The normalizer detects timezone tokens, translates AoE, UTC, and regional offsets into ISO 8601 UTC timestamps, and prevents premature deadline expiration.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Multi-Deadline Milestone Parsing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Separates abstract registration, full paper submission, author notification, and camera-ready deadlines.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Temporal Urgency Curve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Urgency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0.0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1.0</m:t>
                  </m:r>
                  <m:r>
                    <m:rPr>
                      <m:sty m:val="p"/>
                    </m:rPr>
                    <m:t>,</m:t>
                  </m:r>
                  <m:r>
                    <m:t>1.0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nor/>
                          <m:sty m:val="p"/>
                        </m:rPr>
                        <m:t>Days Remaining</m:t>
                      </m:r>
                    </m:num>
                    <m:den>
                      <m:r>
                        <m:t>90.0</m:t>
                      </m:r>
                    </m:den>
                  </m:f>
                </m:e>
              </m:d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t xml:space="preserve">Opportunities with deadlines within 90 days receive an urgency weight in ranking; expired opportunities (</w:t>
      </w:r>
      <m:oMath>
        <m:r>
          <m:rPr>
            <m:nor/>
            <m:sty m:val="p"/>
          </m:rPr>
          <m:t>Days Remaining</m:t>
        </m:r>
        <m:r>
          <m:rPr>
            <m:sty m:val="p"/>
          </m:rPr>
          <m:t>&lt;</m:t>
        </m:r>
        <m:r>
          <m:t>0</m:t>
        </m:r>
      </m:oMath>
      <w:r>
        <w:t xml:space="preserve">) are filtered out.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hybrid-ranking-methodology"/>
    <w:p>
      <w:pPr>
        <w:pStyle w:val="Heading2"/>
      </w:pPr>
      <w:r>
        <w:t xml:space="preserve">5. Hybrid Ranking Methodology</w:t>
      </w:r>
    </w:p>
    <w:p>
      <w:pPr>
        <w:pStyle w:val="FirstParagraph"/>
      </w:pPr>
      <w:r>
        <w:t xml:space="preserve">The hybrid ranking engine (</w:t>
      </w:r>
      <w:r>
        <w:rPr>
          <w:rStyle w:val="VerbatimChar"/>
        </w:rPr>
        <w:t xml:space="preserve">backend/app/ranking/hybrid_ranker.py</w:t>
      </w:r>
      <w:r>
        <w:t xml:space="preserve">) synthesizes candidate features into a single, deterministic score.</w:t>
      </w:r>
    </w:p>
    <w:p>
      <w:pPr>
        <w:pStyle w:val="SourceCode"/>
      </w:pPr>
      <w:r>
        <w:rPr>
          <w:rStyle w:val="VerbatimChar"/>
        </w:rPr>
        <w:t xml:space="preserve">[Candidate Pool] ──► [HybridRanker]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┌────────────────────────┴────────────────────────┐</w:t>
      </w:r>
      <w:r>
        <w:br/>
      </w:r>
      <w:r>
        <w:rPr>
          <w:rStyle w:val="VerbatimChar"/>
        </w:rPr>
        <w:t xml:space="preserve">  ▼                                                 ▼</w:t>
      </w:r>
      <w:r>
        <w:br/>
      </w:r>
      <w:r>
        <w:rPr>
          <w:rStyle w:val="VerbatimChar"/>
        </w:rPr>
        <w:t xml:space="preserve">Core Relevance Signals (&gt;= 85%)           Secondary Signals (&lt;= 15%)</w:t>
      </w:r>
      <w:r>
        <w:br/>
      </w:r>
      <w:r>
        <w:rPr>
          <w:rStyle w:val="VerbatimChar"/>
        </w:rPr>
        <w:t xml:space="preserve">- Semantic Embedding Match (0.40)         - Deadline Urgency (0.05)</w:t>
      </w:r>
      <w:r>
        <w:br/>
      </w:r>
      <w:r>
        <w:rPr>
          <w:rStyle w:val="VerbatimChar"/>
        </w:rPr>
        <w:t xml:space="preserve">- Full-Text Lexical Match (0.25)          - Publication Freshness (0.05)</w:t>
      </w:r>
      <w:r>
        <w:br/>
      </w:r>
      <w:r>
        <w:rPr>
          <w:rStyle w:val="VerbatimChar"/>
        </w:rPr>
        <w:t xml:space="preserve">- Topic DAG Overlap (0.20)                - Venue/Indexing Quality (0.05)</w:t>
      </w:r>
      <w:r>
        <w:br/>
      </w:r>
      <w:r>
        <w:rPr>
          <w:rStyle w:val="VerbatimChar"/>
        </w:rPr>
        <w:t xml:space="preserve">  │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└────────────────────────┬────────────────────────┘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                  Phase 2 Base Score (R0)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              [Relevance Damping Filter]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            Phase 3.5 Personalization Ranker</w:t>
      </w:r>
      <w:r>
        <w:br/>
      </w:r>
      <w:r>
        <w:rPr>
          <w:rStyle w:val="VerbatimChar"/>
        </w:rPr>
        <w:t xml:space="preserve">              Bounded Adjustment (&lt;= 0.15)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              [Deterministic Tie-Breaking]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               Final Ranked Recommendations</w:t>
      </w:r>
    </w:p>
    <w:bookmarkStart w:id="24" w:name="relevance-dominance-invariant"/>
    <w:p>
      <w:pPr>
        <w:pStyle w:val="Heading3"/>
      </w:pPr>
      <w:r>
        <w:t xml:space="preserve">5.1 Relevance Dominance Invariant</w:t>
      </w:r>
    </w:p>
    <w:p>
      <w:pPr>
        <w:pStyle w:val="FirstParagraph"/>
      </w:pPr>
      <w:r>
        <w:t xml:space="preserve">To prevent commercial, urgent, or popular calls from displacing academically relevant venues: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∑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relevance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semantic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lexical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topic</m:t>
              </m:r>
            </m:sub>
          </m:sSub>
          <m:r>
            <m:rPr>
              <m:sty m:val="p"/>
            </m:rPr>
            <m:t>≥</m:t>
          </m:r>
          <m:r>
            <m:t>0.85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∑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secondary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type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freshness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urgency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quality</m:t>
              </m:r>
            </m:sub>
          </m:sSub>
          <m:r>
            <m:rPr>
              <m:sty m:val="p"/>
            </m:rPr>
            <m:t>≤</m:t>
          </m:r>
          <m:r>
            <m:t>0.15</m:t>
          </m:r>
        </m:oMath>
      </m:oMathPara>
    </w:p>
    <w:bookmarkEnd w:id="24"/>
    <w:bookmarkStart w:id="25" w:name="continuous-relevance-damping"/>
    <w:p>
      <w:pPr>
        <w:pStyle w:val="Heading3"/>
      </w:pPr>
      <w:r>
        <w:t xml:space="preserve">5.2 Continuous Relevance Damping</w:t>
      </w:r>
    </w:p>
    <w:p>
      <w:pPr>
        <w:pStyle w:val="FirstParagraph"/>
      </w:pPr>
      <w:r>
        <w:t xml:space="preserve">To ensure that broad preferences cannot artificially boost irrelevant candidates: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Damping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base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0.30</m:t>
                    </m:r>
                  </m:e>
                </m:mr>
                <m:mr>
                  <m:e>
                    <m:r>
                      <m:t>0.20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0.80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base</m:t>
                                </m:r>
                              </m:sub>
                            </m:sSub>
                          </m:num>
                          <m:den>
                            <m:r>
                              <m:t>0.30</m:t>
                            </m:r>
                          </m:den>
                        </m:f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base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0.30</m:t>
                    </m:r>
                  </m:e>
                </m:mr>
              </m:m>
            </m:e>
          </m:d>
        </m:oMath>
      </m:oMathPara>
    </w:p>
    <w:bookmarkEnd w:id="25"/>
    <w:bookmarkStart w:id="26" w:name="composite-scoring-formula"/>
    <w:p>
      <w:pPr>
        <w:pStyle w:val="Heading3"/>
      </w:pPr>
      <w:r>
        <w:t xml:space="preserve">5.3 Composite Scoring Formula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adjustment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0.15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personalization_raw</m:t>
              </m:r>
            </m:sub>
          </m:sSub>
          <m:r>
            <m:rPr>
              <m:sty m:val="p"/>
            </m:rPr>
            <m:t>×</m:t>
          </m:r>
          <m:r>
            <m:t>0.15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Damping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Final Score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0.0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adjustment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26"/>
    <w:bookmarkStart w:id="27" w:name="deterministic-tie-breaking"/>
    <w:p>
      <w:pPr>
        <w:pStyle w:val="Heading3"/>
      </w:pPr>
      <w:r>
        <w:t xml:space="preserve">5.4 Deterministic Tie-Breaking</w:t>
      </w:r>
    </w:p>
    <w:p>
      <w:pPr>
        <w:pStyle w:val="FirstParagraph"/>
      </w:pPr>
      <w:r>
        <w:t xml:space="preserve">Every list is sorted using an immutable tuple, ensuring 100% reproducibility: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Sort Key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final_score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urgency_score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str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opportunity_id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33e6c4804e031bf9a2ebf0e178eb53127be62af"/>
    <w:p>
      <w:pPr>
        <w:pStyle w:val="Heading2"/>
      </w:pPr>
      <w:r>
        <w:t xml:space="preserve">6. Governed Personalization &amp; Adaptive Telemetry Methodology (Phase 5)</w:t>
      </w:r>
    </w:p>
    <w:p>
      <w:pPr>
        <w:pStyle w:val="FirstParagraph"/>
      </w:pPr>
      <w:r>
        <w:t xml:space="preserve">Phase 5 establishes a complete, closed-loop personalization and safety architecture:</w:t>
      </w:r>
    </w:p>
    <w:p>
      <w:pPr>
        <w:pStyle w:val="SourceCode"/>
      </w:pPr>
      <w:r>
        <w:rPr>
          <w:rStyle w:val="VerbatimChar"/>
        </w:rPr>
        <w:t xml:space="preserve">                          PHASE 5 PERSONALIZATION CYCLE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┌────────────────────────────┼────────────────────────────┐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▼                            ▼                            ▼</w:t>
      </w:r>
      <w:r>
        <w:br/>
      </w:r>
      <w:r>
        <w:rPr>
          <w:rStyle w:val="VerbatimChar"/>
        </w:rPr>
        <w:t xml:space="preserve">   [5.1 &amp; 5.2: Explicit]        [5.4: Telemetry]             [5.9: Controls]</w:t>
      </w:r>
      <w:r>
        <w:br/>
      </w:r>
      <w:r>
        <w:rPr>
          <w:rStyle w:val="VerbatimChar"/>
        </w:rPr>
        <w:t xml:space="preserve">  Researcher Preferences      Append-Only Interactions     Master / Adaptive Toggles</w:t>
      </w:r>
      <w:r>
        <w:br/>
      </w:r>
      <w:r>
        <w:rPr>
          <w:rStyle w:val="VerbatimChar"/>
        </w:rPr>
        <w:t xml:space="preserve">  PREFERRED / EXCLUDED /      VIEWED, SAVED, APPLIED,      Safe State Reset</w:t>
      </w:r>
      <w:r>
        <w:br/>
      </w:r>
      <w:r>
        <w:rPr>
          <w:rStyle w:val="VerbatimChar"/>
        </w:rPr>
        <w:t xml:space="preserve">  NEUTRAL                     DISMISSED                    (state_version += 1)</w:t>
      </w:r>
      <w:r>
        <w:br/>
      </w:r>
      <w:r>
        <w:rPr>
          <w:rStyle w:val="VerbatimChar"/>
        </w:rPr>
        <w:t xml:space="preserve">           │                            │                            │</w:t>
      </w:r>
      <w:r>
        <w:br/>
      </w:r>
      <w:r>
        <w:rPr>
          <w:rStyle w:val="VerbatimChar"/>
        </w:rPr>
        <w:t xml:space="preserve">           ▼                            ▼                            │</w:t>
      </w:r>
      <w:r>
        <w:br/>
      </w:r>
      <w:r>
        <w:rPr>
          <w:rStyle w:val="VerbatimChar"/>
        </w:rPr>
        <w:t xml:space="preserve">   [5.3: Scoring]               [5.5: Adaptive Signals]              │</w:t>
      </w:r>
      <w:r>
        <w:br/>
      </w:r>
      <w:r>
        <w:rPr>
          <w:rStyle w:val="VerbatimChar"/>
        </w:rPr>
        <w:t xml:space="preserve">  PersonalizationScorer       Exponential Time Decay       │</w:t>
      </w:r>
      <w:r>
        <w:br/>
      </w:r>
      <w:r>
        <w:rPr>
          <w:rStyle w:val="VerbatimChar"/>
        </w:rPr>
        <w:t xml:space="preserve">  Dimension breakdowns        Bounded in [-0.08, +0.08]              │</w:t>
      </w:r>
      <w:r>
        <w:br/>
      </w:r>
      <w:r>
        <w:rPr>
          <w:rStyle w:val="VerbatimChar"/>
        </w:rPr>
        <w:t xml:space="preserve">           │                            │                            │</w:t>
      </w:r>
      <w:r>
        <w:br/>
      </w:r>
      <w:r>
        <w:rPr>
          <w:rStyle w:val="VerbatimChar"/>
        </w:rPr>
        <w:t xml:space="preserve">           │                            ▼                            │</w:t>
      </w:r>
      <w:r>
        <w:br/>
      </w:r>
      <w:r>
        <w:rPr>
          <w:rStyle w:val="VerbatimChar"/>
        </w:rPr>
        <w:t xml:space="preserve">           │                    [5.6: Calibration]                   │</w:t>
      </w:r>
      <w:r>
        <w:br/>
      </w:r>
      <w:r>
        <w:rPr>
          <w:rStyle w:val="VerbatimChar"/>
        </w:rPr>
        <w:t xml:space="preserve">           │                  Outcome Attribution                    │</w:t>
      </w:r>
      <w:r>
        <w:br/>
      </w:r>
      <w:r>
        <w:rPr>
          <w:rStyle w:val="VerbatimChar"/>
        </w:rPr>
        <w:t xml:space="preserve">           │                  Bounded in [-0.05, +0.05]              │</w:t>
      </w:r>
      <w:r>
        <w:br/>
      </w:r>
      <w:r>
        <w:rPr>
          <w:rStyle w:val="VerbatimChar"/>
        </w:rPr>
        <w:t xml:space="preserve">           │                            │                            │</w:t>
      </w:r>
      <w:r>
        <w:br/>
      </w:r>
      <w:r>
        <w:rPr>
          <w:rStyle w:val="VerbatimChar"/>
        </w:rPr>
        <w:t xml:space="preserve">           │                            ▼                            │</w:t>
      </w:r>
      <w:r>
        <w:br/>
      </w:r>
      <w:r>
        <w:rPr>
          <w:rStyle w:val="VerbatimChar"/>
        </w:rPr>
        <w:t xml:space="preserve">           │                    [5.7: Quality Check]                 │</w:t>
      </w:r>
      <w:r>
        <w:br/>
      </w:r>
      <w:r>
        <w:rPr>
          <w:rStyle w:val="VerbatimChar"/>
        </w:rPr>
        <w:t xml:space="preserve">           │                  NDCG / MRR / Precision                 │</w:t>
      </w:r>
      <w:r>
        <w:br/>
      </w:r>
      <w:r>
        <w:rPr>
          <w:rStyle w:val="VerbatimChar"/>
        </w:rPr>
        <w:t xml:space="preserve">           │                  Contextual Modifiers                   │</w:t>
      </w:r>
      <w:r>
        <w:br/>
      </w:r>
      <w:r>
        <w:rPr>
          <w:rStyle w:val="VerbatimChar"/>
        </w:rPr>
        <w:t xml:space="preserve">           │                            │                            │</w:t>
      </w:r>
      <w:r>
        <w:br/>
      </w:r>
      <w:r>
        <w:rPr>
          <w:rStyle w:val="VerbatimChar"/>
        </w:rPr>
        <w:t xml:space="preserve">           └────────────────────────────┼────────────────────────────┘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[5.8: Governance Decision Gate]</w:t>
      </w:r>
      <w:r>
        <w:br/>
      </w:r>
      <w:r>
        <w:rPr>
          <w:rStyle w:val="VerbatimChar"/>
        </w:rPr>
        <w:t xml:space="preserve">                          5-State FSM with Hysteresis</w:t>
      </w:r>
      <w:r>
        <w:br/>
      </w:r>
      <w:r>
        <w:rPr>
          <w:rStyle w:val="VerbatimChar"/>
        </w:rPr>
        <w:t xml:space="preserve">                         ALLOW / BOUNDED / HOLD / REDUCE / SUSPEND</w:t>
      </w:r>
    </w:p>
    <w:bookmarkStart w:id="29" w:name="telemetry-ingestion-time-decay"/>
    <w:p>
      <w:pPr>
        <w:pStyle w:val="Heading3"/>
      </w:pPr>
      <w:r>
        <w:t xml:space="preserve">6.1 Telemetry Ingestion &amp; Time Decay</w:t>
      </w:r>
    </w:p>
    <w:p>
      <w:pPr>
        <w:pStyle w:val="FirstParagraph"/>
      </w:pPr>
      <w:r>
        <w:t xml:space="preserve">Interactions are persisted in</w:t>
      </w:r>
      <w:r>
        <w:t xml:space="preserve"> </w:t>
      </w:r>
      <w:r>
        <w:rPr>
          <w:rStyle w:val="VerbatimChar"/>
        </w:rPr>
        <w:t xml:space="preserve">researcher_interactions</w:t>
      </w:r>
      <w:r>
        <w:t xml:space="preserve"> </w:t>
      </w:r>
      <w:r>
        <w:t xml:space="preserve">with pre-assigned weights: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APPLIED</w:t>
      </w:r>
      <w:r>
        <w:t xml:space="preserve">:</w:t>
      </w:r>
      <w:r>
        <w:t xml:space="preserve"> </w:t>
      </w:r>
      <m:oMath>
        <m:r>
          <m:rPr>
            <m:sty m:val="p"/>
          </m:rPr>
          <m:t>+</m:t>
        </m:r>
        <m:r>
          <m:t>1.0</m:t>
        </m:r>
      </m:oMath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INTERESTED</w:t>
      </w:r>
      <w:r>
        <w:t xml:space="preserve">:</w:t>
      </w:r>
      <w:r>
        <w:t xml:space="preserve"> </w:t>
      </w:r>
      <m:oMath>
        <m:r>
          <m:rPr>
            <m:sty m:val="p"/>
          </m:rPr>
          <m:t>+</m:t>
        </m:r>
        <m:r>
          <m:t>0.8</m:t>
        </m:r>
      </m:oMath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SAVED</w:t>
      </w:r>
      <w:r>
        <w:t xml:space="preserve">: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VIEWED</w:t>
      </w:r>
      <w:r>
        <w:t xml:space="preserve">: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DISMISSED</w:t>
      </w:r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0.9</m:t>
        </m:r>
      </m:oMath>
    </w:p>
    <w:p>
      <w:pPr>
        <w:pStyle w:val="BodyText"/>
      </w:pPr>
      <w:r>
        <w:t xml:space="preserve">Adaptive signal strength applies exponential half-life decay (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nor/>
            <m:sty m:val="p"/>
          </m:rPr>
          <m:t> days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30</m:t>
              </m:r>
            </m:den>
          </m:f>
          <m:r>
            <m:rPr>
              <m:sty m:val="p"/>
            </m:rPr>
            <m:t>≈</m:t>
          </m:r>
          <m:r>
            <m:t>0.0231</m:t>
          </m:r>
          <m:r>
            <m:rPr>
              <m:sty m:val="p"/>
            </m:rPr>
            <m:t>⟹</m:t>
          </m:r>
          <m:r>
            <m:t>w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sup>
          </m:sSup>
        </m:oMath>
      </m:oMathPara>
    </w:p>
    <w:bookmarkEnd w:id="29"/>
    <w:bookmarkStart w:id="30" w:name="Xce13808b17d842ca6f15d27b4c7bf962216f78c"/>
    <w:p>
      <w:pPr>
        <w:pStyle w:val="Heading3"/>
      </w:pPr>
      <w:r>
        <w:t xml:space="preserve">6.2 The 5-State Governance Finite State Machine (FSM)</w:t>
      </w:r>
    </w:p>
    <w:p>
      <w:pPr>
        <w:pStyle w:val="FirstParagraph"/>
      </w:pPr>
      <w:r>
        <w:t xml:space="preserve">To prevent algorithmic drift and echo chambers, the</w:t>
      </w:r>
      <w:r>
        <w:t xml:space="preserve"> </w:t>
      </w:r>
      <w:r>
        <w:rPr>
          <w:rStyle w:val="VerbatimChar"/>
        </w:rPr>
        <w:t xml:space="preserve">PersonalizationGovernanceEngine</w:t>
      </w:r>
      <w:r>
        <w:t xml:space="preserve"> </w:t>
      </w:r>
      <w:r>
        <w:t xml:space="preserve">manages adaptation states:</w:t>
      </w:r>
    </w:p>
    <w:p>
      <w:pPr>
        <w:pStyle w:val="SourceCode"/>
      </w:pPr>
      <w:r>
        <w:rPr>
          <w:rStyle w:val="VerbatimChar"/>
        </w:rPr>
        <w:t xml:space="preserve">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│        ALLOW         │ (100% adaptation)</w:t>
      </w:r>
      <w:r>
        <w:br/>
      </w:r>
      <w:r>
        <w:rPr>
          <w:rStyle w:val="VerbatimChar"/>
        </w:rPr>
        <w:t xml:space="preserve">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│ Drift detected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│    ALLOW_BOUNDED     │ (50% adaptation)</w:t>
      </w:r>
      <w:r>
        <w:br/>
      </w:r>
      <w:r>
        <w:rPr>
          <w:rStyle w:val="VerbatimChar"/>
        </w:rPr>
        <w:t xml:space="preserve">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│ Insufficient recent evidence (N &lt; 3)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│         HOLD         │ (25% adaptation)</w:t>
      </w:r>
      <w:r>
        <w:br/>
      </w:r>
      <w:r>
        <w:rPr>
          <w:rStyle w:val="VerbatimChar"/>
        </w:rPr>
        <w:t xml:space="preserve">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│ Quality degradation detected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│        REDUCE        │ (10% adaptation)</w:t>
      </w:r>
      <w:r>
        <w:br/>
      </w:r>
      <w:r>
        <w:rPr>
          <w:rStyle w:val="VerbatimChar"/>
        </w:rPr>
        <w:t xml:space="preserve">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│ Critical conflict / persistent drift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│       SUSPEND        │ (0% adaptation; neutral fallback)</w:t>
      </w:r>
      <w:r>
        <w:br/>
      </w:r>
      <w:r>
        <w:rPr>
          <w:rStyle w:val="VerbatimChar"/>
        </w:rPr>
        <w:t xml:space="preserve">               └──────────────────────┘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Hysteresis Guarantee</w:t>
      </w:r>
      <w:r>
        <w:t xml:space="preserve">: A single negative interaction cannot trigger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. Recovery from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 </w:t>
      </w:r>
      <w:r>
        <w:t xml:space="preserve">requires at least 5 consecutive stable interactions (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) and transitions to</w:t>
      </w:r>
      <w:r>
        <w:t xml:space="preserve"> </w:t>
      </w:r>
      <w:r>
        <w:rPr>
          <w:rStyle w:val="VerbatimChar"/>
        </w:rPr>
        <w:t xml:space="preserve">ALLOW_BOUNDED</w:t>
      </w:r>
      <w:r>
        <w:t xml:space="preserve">, never directly 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.</w:t>
      </w:r>
    </w:p>
    <w:bookmarkEnd w:id="30"/>
    <w:bookmarkStart w:id="31" w:name="safe-state-reset-methodology"/>
    <w:p>
      <w:pPr>
        <w:pStyle w:val="Heading3"/>
      </w:pPr>
      <w:r>
        <w:t xml:space="preserve">6.3 Safe State Reset Methodology</w:t>
      </w:r>
    </w:p>
    <w:p>
      <w:pPr>
        <w:pStyle w:val="FirstParagraph"/>
      </w:pPr>
      <w:r>
        <w:t xml:space="preserve">When a researcher resets personalization (</w:t>
      </w:r>
      <w:r>
        <w:rPr>
          <w:rStyle w:val="VerbatimChar"/>
        </w:rPr>
        <w:t xml:space="preserve">/personalization/reset</w:t>
      </w:r>
      <w:r>
        <w:t xml:space="preserve">):</w:t>
      </w:r>
      <w:r>
        <w:t xml:space="preserve"> </w:t>
      </w:r>
      <w:r>
        <w:t xml:space="preserve">1. Increments</w:t>
      </w:r>
      <w:r>
        <w:t xml:space="preserve"> </w:t>
      </w:r>
      <w:r>
        <w:rPr>
          <w:rStyle w:val="VerbatimChar"/>
        </w:rPr>
        <w:t xml:space="preserve">personalization_state_version</w:t>
      </w:r>
      <w:r>
        <w:t xml:space="preserve"> </w:t>
      </w:r>
      <w:r>
        <w:t xml:space="preserve">(e.g.,</w:t>
      </w:r>
      <w:r>
        <w:t xml:space="preserve"> </w:t>
      </w:r>
      <m:oMath>
        <m:r>
          <m:t>1</m:t>
        </m:r>
        <m:r>
          <m:rPr>
            <m:sty m:val="p"/>
          </m:rPr>
          <m:t>→</m:t>
        </m:r>
        <m:r>
          <m:t>2</m:t>
        </m:r>
      </m:oMath>
      <w:r>
        <w:t xml:space="preserve">).</w:t>
      </w:r>
      <w:r>
        <w:t xml:space="preserve"> </w:t>
      </w:r>
      <w:r>
        <w:t xml:space="preserve">2. Deletes derived tables:</w:t>
      </w:r>
      <w:r>
        <w:t xml:space="preserve"> </w:t>
      </w:r>
      <w:r>
        <w:rPr>
          <w:rStyle w:val="VerbatimChar"/>
        </w:rPr>
        <w:t xml:space="preserve">adaptive_preference_signals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personalization_calibrations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personalization_contextual_adaptations</w:t>
      </w:r>
      <w:r>
        <w:t xml:space="preserve">.</w:t>
      </w:r>
      <w:r>
        <w:t xml:space="preserve"> </w:t>
      </w:r>
      <w:r>
        <w:t xml:space="preserve">3. Preserves</w:t>
      </w:r>
      <w:r>
        <w:t xml:space="preserve"> </w:t>
      </w:r>
      <w:r>
        <w:rPr>
          <w:rStyle w:val="VerbatimChar"/>
        </w:rPr>
        <w:t xml:space="preserve">UserModel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ResearchProfileModel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ResearcherPreferenceModel</w:t>
      </w:r>
      <w:r>
        <w:t xml:space="preserve"> </w:t>
      </w:r>
      <w:r>
        <w:t xml:space="preserve">(explicit rules), and historical audit logs.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947e6b8d607353bdc25a645d90f94e0364a5976"/>
    <w:p>
      <w:pPr>
        <w:pStyle w:val="Heading2"/>
      </w:pPr>
      <w:r>
        <w:t xml:space="preserve">7. Post-Discovery Research Workflow Methodology (Phase 4)</w:t>
      </w:r>
    </w:p>
    <w:p>
      <w:pPr>
        <w:pStyle w:val="FirstParagraph"/>
      </w:pPr>
      <w:r>
        <w:t xml:space="preserve">Once an opportunity is selected, the platform guides the researcher through proposal development:</w:t>
      </w:r>
    </w:p>
    <w:p>
      <w:pPr>
        <w:pStyle w:val="SourceCode"/>
      </w:pPr>
      <w:r>
        <w:rPr>
          <w:rStyle w:val="VerbatimChar"/>
        </w:rPr>
        <w:t xml:space="preserve">[Opportunity Discovered]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[4.1: Opportunity Workspace] ──► Kanban State: SAVED ──► IN_PROGRESS ──► SUBMITTED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├──────────────────────────────────────────┐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▼                                          ▼</w:t>
      </w:r>
      <w:r>
        <w:br/>
      </w:r>
      <w:r>
        <w:rPr>
          <w:rStyle w:val="VerbatimChar"/>
        </w:rPr>
        <w:t xml:space="preserve">[4.2 &amp; 4.3: Submission &amp; Documents]         [4.4: Calendar Engine]</w:t>
      </w:r>
      <w:r>
        <w:br/>
      </w:r>
      <w:r>
        <w:rPr>
          <w:rStyle w:val="VerbatimChar"/>
        </w:rPr>
        <w:t xml:space="preserve">- ResearchSubmissionModel                  - ResearchCalendarModel</w:t>
      </w:r>
      <w:r>
        <w:br/>
      </w:r>
      <w:r>
        <w:rPr>
          <w:rStyle w:val="VerbatimChar"/>
        </w:rPr>
        <w:t xml:space="preserve">- SHA-256 versioned uploads                - Milestones: Abstract, Paper, Camera-Ready</w:t>
      </w:r>
      <w:r>
        <w:br/>
      </w:r>
      <w:r>
        <w:rPr>
          <w:rStyle w:val="VerbatimChar"/>
        </w:rPr>
        <w:t xml:space="preserve">- SubmissionReadinessEngine Audit          - RFC 5545 iCal Feed (.ics export)</w:t>
      </w:r>
      <w:r>
        <w:br/>
      </w:r>
      <w:r>
        <w:rPr>
          <w:rStyle w:val="VerbatimChar"/>
        </w:rPr>
        <w:t xml:space="preserve">           │                                          │</w:t>
      </w:r>
      <w:r>
        <w:br/>
      </w:r>
      <w:r>
        <w:rPr>
          <w:rStyle w:val="VerbatimChar"/>
        </w:rPr>
        <w:t xml:space="preserve">           ├──────────────────────────────────────────┘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[4.5 &amp; 4.6: Collaboration &amp; Reminders]</w:t>
      </w:r>
      <w:r>
        <w:br/>
      </w:r>
      <w:r>
        <w:rPr>
          <w:rStyle w:val="VerbatimChar"/>
        </w:rPr>
        <w:t xml:space="preserve">- Role-Based Access Control (OWNER, EDITOR, VIEWER)</w:t>
      </w:r>
      <w:r>
        <w:br/>
      </w:r>
      <w:r>
        <w:rPr>
          <w:rStyle w:val="VerbatimChar"/>
        </w:rPr>
        <w:t xml:space="preserve">- Collaborative tasks &amp; assignment</w:t>
      </w:r>
      <w:r>
        <w:br/>
      </w:r>
      <w:r>
        <w:rPr>
          <w:rStyle w:val="VerbatimChar"/>
        </w:rPr>
        <w:t xml:space="preserve">- Automated offset reminders (T-14d, T-7d, T-24h)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Integrity</w:t>
      </w:r>
      <w:r>
        <w:t xml:space="preserve">: Manuscript drafts uploaded to</w:t>
      </w:r>
      <w:r>
        <w:t xml:space="preserve"> </w:t>
      </w:r>
      <w:r>
        <w:rPr>
          <w:rStyle w:val="VerbatimChar"/>
        </w:rPr>
        <w:t xml:space="preserve">submission_documents</w:t>
      </w:r>
      <w:r>
        <w:t xml:space="preserve"> </w:t>
      </w:r>
      <w:r>
        <w:t xml:space="preserve">generate a SHA-256 hash in</w:t>
      </w:r>
      <w:r>
        <w:t xml:space="preserve"> </w:t>
      </w:r>
      <w:r>
        <w:rPr>
          <w:rStyle w:val="VerbatimChar"/>
        </w:rPr>
        <w:t xml:space="preserve">ResearchSubmissionDocumentVersionModel</w:t>
      </w:r>
      <w:r>
        <w:t xml:space="preserve">, providing immutable provenance.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Submission Readiness Gating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SubmissionReadinessEngine</w:t>
      </w:r>
      <w:r>
        <w:t xml:space="preserve"> </w:t>
      </w:r>
      <w:r>
        <w:t xml:space="preserve">verifies that mandatory documents (blinded manuscript, author declaration) exist and meet size/format constraints before permitting state transition to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iCalendar Engine</w:t>
      </w:r>
      <w:r>
        <w:t xml:space="preserve">: Generates RFC 5545 compliant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feeds directly from database milestones for synchronization with external calendar clients.</w:t>
      </w:r>
    </w:p>
    <w:p>
      <w:r>
        <w:pict>
          <v:rect style="width:0;height:1.5pt" o:hralign="center" o:hrstd="t" o:hr="t"/>
        </w:pict>
      </w:r>
    </w:p>
    <w:bookmarkEnd w:id="33"/>
    <w:bookmarkStart w:id="37" w:name="Xc0181f5bdc91c8367c3e07fef7fb4d38363bb21"/>
    <w:p>
      <w:pPr>
        <w:pStyle w:val="Heading2"/>
      </w:pPr>
      <w:r>
        <w:t xml:space="preserve">8. Verification, Performance, &amp; Testing Methodology</w:t>
      </w:r>
    </w:p>
    <w:bookmarkStart w:id="34" w:name="zero-n1-query-architecture"/>
    <w:p>
      <w:pPr>
        <w:pStyle w:val="Heading3"/>
      </w:pPr>
      <w:r>
        <w:t xml:space="preserve">8.1 Zero N+1 Query Architecture</w:t>
      </w:r>
    </w:p>
    <w:p>
      <w:pPr>
        <w:pStyle w:val="FirstParagraph"/>
      </w:pPr>
      <w:r>
        <w:t xml:space="preserve">To guarantee bounded latency during large batch retrievals: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SQLAlchemy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selectinload</w:t>
      </w:r>
      <w:r>
        <w:t xml:space="preserve">: Used for 1:N and M:N relationships (e.g., loading submissions and document versions), executing a single secondary</w:t>
      </w:r>
      <w:r>
        <w:t xml:space="preserve"> </w:t>
      </w:r>
      <w:r>
        <w:rPr>
          <w:rStyle w:val="VerbatimChar"/>
        </w:rPr>
        <w:t xml:space="preserve">IN (...)</w:t>
      </w:r>
      <w:r>
        <w:t xml:space="preserve"> </w:t>
      </w:r>
      <w:r>
        <w:t xml:space="preserve">query.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SQLAlchemy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joinedload</w:t>
      </w:r>
      <w:r>
        <w:t xml:space="preserve">: Used for N:1 relationships (e.g., loading parent opportunity topics).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In-Memory Dictionary Indexing</w:t>
      </w:r>
      <w:r>
        <w:t xml:space="preserve">: Loading all candidate entities in one SQL pass and mapping them into lookup dictionaries (</w:t>
      </w:r>
      <w:r>
        <w:rPr>
          <w:rStyle w:val="VerbatimChar"/>
        </w:rPr>
        <w:t xml:space="preserve">{id: entity}</w:t>
      </w:r>
      <w:r>
        <w:t xml:space="preserve">) in Python memory.</w:t>
      </w:r>
    </w:p>
    <w:bookmarkEnd w:id="34"/>
    <w:bookmarkStart w:id="35" w:name="in-memory-caching-rate-limiting"/>
    <w:p>
      <w:pPr>
        <w:pStyle w:val="Heading3"/>
      </w:pPr>
      <w:r>
        <w:t xml:space="preserve">8.2 In-Memory Caching &amp; Rate Limiting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DiscoveryResponseCacheMiddleware</w:t>
      </w:r>
      <w:r>
        <w:t xml:space="preserve"> </w:t>
      </w:r>
      <w:r>
        <w:t xml:space="preserve">provides thread-safe, TTL-based (60s) LRU caching with standard</w:t>
      </w:r>
      <w:r>
        <w:t xml:space="preserve"> </w:t>
      </w:r>
      <w:r>
        <w:rPr>
          <w:rStyle w:val="VerbatimChar"/>
        </w:rPr>
        <w:t xml:space="preserve">X-Cache: HIT/MISS</w:t>
      </w:r>
      <w:r>
        <w:t xml:space="preserve"> </w:t>
      </w:r>
      <w:r>
        <w:t xml:space="preserve">headers for read-only GET discovery requests.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Rate Limiting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DiscoveryRateLimitMiddleware</w:t>
      </w:r>
      <w:r>
        <w:t xml:space="preserve"> </w:t>
      </w:r>
      <w:r>
        <w:t xml:space="preserve">enforces token-bucket rate limiting (60 requests/minute per client IP) to prevent denial of service.</w:t>
      </w:r>
    </w:p>
    <w:bookmarkEnd w:id="35"/>
    <w:bookmarkStart w:id="36" w:name="invariant-regression-testing-suite"/>
    <w:p>
      <w:pPr>
        <w:pStyle w:val="Heading3"/>
      </w:pPr>
      <w:r>
        <w:t xml:space="preserve">8.3 Invariant &amp; Regression Testing Suite</w:t>
      </w:r>
    </w:p>
    <w:p>
      <w:pPr>
        <w:pStyle w:val="FirstParagraph"/>
      </w:pPr>
      <w:r>
        <w:t xml:space="preserve">The repository contains</w:t>
      </w:r>
      <w:r>
        <w:t xml:space="preserve"> </w:t>
      </w:r>
      <w:r>
        <w:rPr>
          <w:b/>
          <w:bCs/>
        </w:rPr>
        <w:t xml:space="preserve">87 Pytest test files</w:t>
      </w:r>
      <w:r>
        <w:t xml:space="preserve"> </w:t>
      </w:r>
      <w:r>
        <w:t xml:space="preserve">enforcing architectural invariants: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Category</w:t>
            </w:r>
          </w:p>
        </w:tc>
        <w:tc>
          <w:tcPr/>
          <w:p>
            <w:pPr>
              <w:pStyle w:val="Compact"/>
            </w:pPr>
            <w:r>
              <w:t xml:space="preserve">Target Module</w:t>
            </w:r>
          </w:p>
        </w:tc>
        <w:tc>
          <w:tcPr/>
          <w:p>
            <w:pPr>
              <w:pStyle w:val="Compact"/>
            </w:pPr>
            <w:r>
              <w:t xml:space="preserve">Invariant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Relevance Dominance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test_hybrid_ranker.py</w:t>
            </w:r>
          </w:p>
        </w:tc>
        <w:tc>
          <w:tcPr/>
          <w:p>
            <w:pPr>
              <w:pStyle w:val="Compact"/>
            </w:pPr>
            <w:r>
              <w:t xml:space="preserve">Relevance weights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0.85</m:t>
              </m:r>
            </m:oMath>
            <w:r>
              <w:t xml:space="preserve">; secondary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0.15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Personalization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test_personalization_ranking.py</w:t>
            </w:r>
          </w:p>
        </w:tc>
        <w:tc>
          <w:tcPr/>
          <w:p>
            <w:pPr>
              <w:pStyle w:val="Compact"/>
            </w:pPr>
            <w:r>
              <w:t xml:space="preserve">Adjustment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0.15</m:t>
              </m:r>
            </m:oMath>
            <w:r>
              <w:t xml:space="preserve">; relevance damping below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Predatory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test_phase2_6g_risk_evaluation.py</w:t>
            </w:r>
          </w:p>
        </w:tc>
        <w:tc>
          <w:tcPr/>
          <w:p>
            <w:pPr>
              <w:pStyle w:val="Compact"/>
            </w:pPr>
            <w:r>
              <w:t xml:space="preserve">Predatory flag forces adjustment to</w:t>
            </w:r>
            <w:r>
              <w:t xml:space="preserve"> </w:t>
            </w:r>
            <m:oMath>
              <m:r>
                <m:t>0.0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Timezone UTC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test_date_timezone_normalization.py</w:t>
            </w:r>
          </w:p>
        </w:tc>
        <w:tc>
          <w:tcPr/>
          <w:p>
            <w:pPr>
              <w:pStyle w:val="Compact"/>
            </w:pPr>
            <w:r>
              <w:t xml:space="preserve">AoE properly converted to UTC-12:00.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Governance FSM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test_personalization_governance.py</w:t>
            </w:r>
          </w:p>
        </w:tc>
        <w:tc>
          <w:tcPr/>
          <w:p>
            <w:pPr>
              <w:pStyle w:val="Compact"/>
            </w:pPr>
            <w:r>
              <w:t xml:space="preserve">Hysteresis buffers; recovery requires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 Readiness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test_phase4_3_invariants.py</w:t>
            </w:r>
          </w:p>
        </w:tc>
        <w:tc>
          <w:tcPr/>
          <w:p>
            <w:pPr>
              <w:pStyle w:val="Compact"/>
            </w:pPr>
            <w:r>
              <w:t xml:space="preserve">State machine transitions blocked if documents missing.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N+1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test_phase4_7_research_intelligence_integration.py</w:t>
            </w:r>
          </w:p>
        </w:tc>
        <w:tc>
          <w:tcPr/>
          <w:p>
            <w:pPr>
              <w:pStyle w:val="Compact"/>
            </w:pPr>
            <w:r>
              <w:t xml:space="preserve">Constant query count regardless of candidate batch size.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38" w:name="X410ad1914f93f0b51ea5ea0af964e35bbc20686"/>
    <w:p>
      <w:pPr>
        <w:pStyle w:val="Heading2"/>
      </w:pPr>
      <w:r>
        <w:t xml:space="preserve">9. Current Technical Limitations &amp; Audit Evidence</w:t>
      </w:r>
    </w:p>
    <w:p>
      <w:pPr>
        <w:pStyle w:val="FirstParagraph"/>
      </w:pPr>
      <w:r>
        <w:t xml:space="preserve">In accordance with rigorous academic integrity standards, the following technical limitations are documented from the codebase audit: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Phase 5 Live Gateway Disconnect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Status</w:t>
      </w:r>
      <w:r>
        <w:t xml:space="preserve">: Phase 5 engines (</w:t>
      </w:r>
      <w:r>
        <w:rPr>
          <w:rStyle w:val="VerbatimChar"/>
        </w:rPr>
        <w:t xml:space="preserve">PersonalizationScorer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AdaptiveSignalEngine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GovernanceEngine</w:t>
      </w:r>
      <w:r>
        <w:t xml:space="preserve">) are fully implemented and verified in isolated test suites.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Audit Finding</w:t>
      </w:r>
      <w:r>
        <w:t xml:space="preserve">: The live production gateway</w:t>
      </w:r>
      <w:r>
        <w:t xml:space="preserve"> </w:t>
      </w:r>
      <w:r>
        <w:rPr>
          <w:rStyle w:val="VerbatimChar"/>
        </w:rPr>
        <w:t xml:space="preserve">/api/v1/researchers/{id}/recommendations/unified</w:t>
      </w:r>
      <w:r>
        <w:t xml:space="preserve"> </w:t>
      </w:r>
      <w:r>
        <w:t xml:space="preserve">routes through</w:t>
      </w:r>
      <w:r>
        <w:t xml:space="preserve"> </w:t>
      </w:r>
      <w:r>
        <w:rPr>
          <w:rStyle w:val="VerbatimChar"/>
        </w:rPr>
        <w:t xml:space="preserve">PersonalizationRankingService</w:t>
      </w:r>
      <w:r>
        <w:t xml:space="preserve">, which calls the Phase 3.5</w:t>
      </w:r>
      <w:r>
        <w:t xml:space="preserve"> </w:t>
      </w:r>
      <w:r>
        <w:rPr>
          <w:rStyle w:val="VerbatimChar"/>
        </w:rPr>
        <w:t xml:space="preserve">PersonalizationRanker</w:t>
      </w:r>
      <w:r>
        <w:t xml:space="preserve"> </w:t>
      </w:r>
      <w:r>
        <w:t xml:space="preserve">rather than Phase 5’s</w:t>
      </w:r>
      <w:r>
        <w:t xml:space="preserve"> </w:t>
      </w:r>
      <w:r>
        <w:rPr>
          <w:rStyle w:val="VerbatimChar"/>
        </w:rPr>
        <w:t xml:space="preserve">PersonalizationScorer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Consequence</w:t>
      </w:r>
      <w:r>
        <w:t xml:space="preserve">: Toggling personalization off in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 </w:t>
      </w:r>
      <w:r>
        <w:t xml:space="preserve">currently does not modify live ranking in</w:t>
      </w:r>
      <w:r>
        <w:t xml:space="preserve"> </w:t>
      </w:r>
      <w:r>
        <w:rPr>
          <w:rStyle w:val="VerbatimChar"/>
        </w:rPr>
        <w:t xml:space="preserve">/recommendations/unified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Development Header Authentication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i/>
          <w:iCs/>
        </w:rPr>
        <w:t xml:space="preserve">Status</w:t>
      </w:r>
      <w:r>
        <w:t xml:space="preserve">: Development uses an optional</w:t>
      </w:r>
      <w:r>
        <w:t xml:space="preserve"> </w:t>
      </w:r>
      <w:r>
        <w:rPr>
          <w:rStyle w:val="VerbatimChar"/>
        </w:rPr>
        <w:t xml:space="preserve">X-User-ID</w:t>
      </w:r>
      <w:r>
        <w:t xml:space="preserve"> </w:t>
      </w:r>
      <w:r>
        <w:t xml:space="preserve">header checked in</w:t>
      </w:r>
      <w:r>
        <w:t xml:space="preserve"> </w:t>
      </w:r>
      <w:r>
        <w:rPr>
          <w:rStyle w:val="VerbatimChar"/>
        </w:rPr>
        <w:t xml:space="preserve">_resolve_researcher_profile_auth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rPr>
          <w:i/>
          <w:iCs/>
        </w:rPr>
        <w:t xml:space="preserve">Audit Finding</w:t>
      </w:r>
      <w:r>
        <w:t xml:space="preserve">: Omitting</w:t>
      </w:r>
      <w:r>
        <w:t xml:space="preserve"> </w:t>
      </w:r>
      <w:r>
        <w:rPr>
          <w:rStyle w:val="VerbatimChar"/>
        </w:rPr>
        <w:t xml:space="preserve">X-User-ID</w:t>
      </w:r>
      <w:r>
        <w:t xml:space="preserve"> </w:t>
      </w:r>
      <w:r>
        <w:t xml:space="preserve">does not return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; it resolves the profile by identifier directly.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Reset Telemetry Windowing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i/>
          <w:iCs/>
        </w:rPr>
        <w:t xml:space="preserve">Status</w:t>
      </w:r>
      <w:r>
        <w:t xml:space="preserve">: Resetting personalization deletes derived signal tables and increments</w:t>
      </w:r>
      <w:r>
        <w:t xml:space="preserve"> </w:t>
      </w:r>
      <w:r>
        <w:rPr>
          <w:rStyle w:val="VerbatimChar"/>
        </w:rPr>
        <w:t xml:space="preserve">personalization_state_version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i/>
          <w:iCs/>
        </w:rPr>
        <w:t xml:space="preserve">Audit Finding</w:t>
      </w:r>
      <w:r>
        <w:t xml:space="preserve">: Raw rows in</w:t>
      </w:r>
      <w:r>
        <w:t xml:space="preserve"> </w:t>
      </w:r>
      <w:r>
        <w:rPr>
          <w:rStyle w:val="VerbatimChar"/>
        </w:rPr>
        <w:t xml:space="preserve">researcher_interactions</w:t>
      </w:r>
      <w:r>
        <w:t xml:space="preserve"> </w:t>
      </w:r>
      <w:r>
        <w:t xml:space="preserve">are retained for telemetry. Calling</w:t>
      </w:r>
      <w:r>
        <w:t xml:space="preserve"> </w:t>
      </w:r>
      <w:r>
        <w:rPr>
          <w:rStyle w:val="VerbatimChar"/>
        </w:rPr>
        <w:t xml:space="preserve">recompute_adaptive_signals</w:t>
      </w:r>
      <w:r>
        <w:t xml:space="preserve"> </w:t>
      </w:r>
      <w:r>
        <w:t xml:space="preserve">without a timestamp cutoff filter can re-aggregate pre-reset interactions.</w:t>
      </w:r>
    </w:p>
    <w:p>
      <w:r>
        <w:pict>
          <v:rect style="width:0;height:1.5pt" o:hralign="center" o:hrstd="t" o:hr="t"/>
        </w:pict>
      </w:r>
    </w:p>
    <w:bookmarkEnd w:id="38"/>
    <w:bookmarkStart w:id="39" w:name="summary-specification-table"/>
    <w:p>
      <w:pPr>
        <w:pStyle w:val="Heading2"/>
      </w:pPr>
      <w:r>
        <w:t xml:space="preserve">10. Summary Specification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Architectural Feature</w:t>
            </w:r>
          </w:p>
        </w:tc>
        <w:tc>
          <w:tcPr/>
          <w:p>
            <w:pPr>
              <w:pStyle w:val="Compact"/>
            </w:pPr>
            <w:r>
              <w:t xml:space="preserve">Implementation Specification in Repository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Architecture</w:t>
            </w:r>
          </w:p>
        </w:tc>
        <w:tc>
          <w:tcPr/>
          <w:p>
            <w:pPr>
              <w:pStyle w:val="Compact"/>
            </w:pPr>
            <w:r>
              <w:t xml:space="preserve">Next.js 15.3.3 (App Router), React 19, TypeScript 5.7, Vanilla CSS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 Architecture</w:t>
            </w:r>
          </w:p>
        </w:tc>
        <w:tc>
          <w:tcPr/>
          <w:p>
            <w:pPr>
              <w:pStyle w:val="Compact"/>
            </w:pPr>
            <w:r>
              <w:t xml:space="preserve">FastAPI 0.115.6, Python 3.12, Layered Domain Architecture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&amp; ORM</w:t>
            </w:r>
          </w:p>
        </w:tc>
        <w:tc>
          <w:tcPr/>
          <w:p>
            <w:pPr>
              <w:pStyle w:val="Compact"/>
            </w:pPr>
            <w:r>
              <w:t xml:space="preserve">PostgreSQL 16, pgvector 0.3.6, SQLAlchemy 2.0.36, Alembic 1.14 (23 revisions)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Dense Embedding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all-MiniLM-L6-v2</w:t>
            </w:r>
            <w:r>
              <w:t xml:space="preserve"> </w:t>
            </w:r>
            <w:r>
              <w:t xml:space="preserve">(384 dimensions, sentence-transformers 3.3.1)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Retrieval Fusion</w:t>
            </w:r>
          </w:p>
        </w:tc>
        <w:tc>
          <w:tcPr/>
          <w:p>
            <w:pPr>
              <w:pStyle w:val="Compact"/>
            </w:pPr>
            <w:r>
              <w:t xml:space="preserve">Reciprocal Rank Fusion (RRF,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) over Vector + Lexical (tsvector GIN)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Ranking Law</w:t>
            </w:r>
          </w:p>
        </w:tc>
        <w:tc>
          <w:tcPr/>
          <w:p>
            <w:pPr>
              <w:pStyle w:val="Compact"/>
            </w:pPr>
            <w:r>
              <w:t xml:space="preserve">Relevance Dominance Invariant (</w:t>
            </w: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relevance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0.85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secondary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0.15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Personalization Cap</w:t>
            </w:r>
          </w:p>
        </w:tc>
        <w:tc>
          <w:tcPr/>
          <w:p>
            <w:pPr>
              <w:pStyle w:val="Compact"/>
            </w:pPr>
            <w:r>
              <w:t xml:space="preserve">Max adjustment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0.15</m:t>
              </m:r>
            </m:oMath>
            <w:r>
              <w:t xml:space="preserve">, Damping threshold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base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0.30</m:t>
              </m:r>
            </m:oMath>
            <w:r>
              <w:t xml:space="preserve">, Tie-breaking tuple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Governance Machine</w:t>
            </w:r>
          </w:p>
        </w:tc>
        <w:tc>
          <w:tcPr/>
          <w:p>
            <w:pPr>
              <w:pStyle w:val="Compact"/>
            </w:pPr>
            <w:r>
              <w:t xml:space="preserve">5-State FSM (</w:t>
            </w:r>
            <w:r>
              <w:rPr>
                <w:rStyle w:val="VerbatimChar"/>
              </w:rPr>
              <w:t xml:space="preserve">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ALLOW_BOUNDED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REDUCE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</w:t>
            </w:r>
            <w:r>
              <w:t xml:space="preserve">) with Hysteresis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Management</w:t>
            </w:r>
          </w:p>
        </w:tc>
        <w:tc>
          <w:tcPr/>
          <w:p>
            <w:pPr>
              <w:pStyle w:val="Compact"/>
            </w:pPr>
            <w:r>
              <w:t xml:space="preserve">Proposal Kanban, Document Versioning (SHA-256), Readiness Engine, RFC 5545 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Suite</w:t>
            </w:r>
          </w:p>
        </w:tc>
        <w:tc>
          <w:tcPr/>
          <w:p>
            <w:pPr>
              <w:pStyle w:val="Compact"/>
            </w:pPr>
            <w:r>
              <w:t xml:space="preserve">87 Pytest test suites enforcing unit correctness, security, and mathematical invariants</w:t>
            </w:r>
          </w:p>
        </w:tc>
      </w:tr>
    </w:tbl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2026-09-22T10:51:44Z</dcterms:created>
  <dcterms:modified xsi:type="dcterms:W3CDTF">2026-09-22T10:51:44Z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