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3feb8429f707eb4565b20de372a55017fd1bd3"/>
    <w:p>
      <w:pPr>
        <w:pStyle w:val="Heading1"/>
      </w:pPr>
      <w:r>
        <w:t xml:space="preserve">Technical Report: Working of the Smart Agriculture AI System</w:t>
      </w:r>
    </w:p>
    <w:p>
      <w:r>
        <w:pict>
          <v:rect style="width:0;height:1.5pt" o:hralign="center" o:hrstd="t" o:hr="t"/>
        </w:pict>
      </w:r>
    </w:p>
    <w:bookmarkStart w:id="9" w:name="system-overview"/>
    <w:p>
      <w:pPr>
        <w:pStyle w:val="Heading2"/>
      </w:pPr>
      <w:r>
        <w:t xml:space="preserve">1. System Overview</w:t>
      </w:r>
    </w:p>
    <w:p>
      <w:pPr>
        <w:pStyle w:val="FirstParagraph"/>
      </w:pPr>
      <w:r>
        <w:t xml:space="preserve">The Smart Agriculture AI System is designed as a modular, full-stack predictive platform that integrates machine learning models, deep learning pipelines, and generative AI to support agronomic decisions. Structurally, the platform is divided into a frontend dashboard interface, an API orchestration backend, and a dedicated machine learning execution layer. The user interface allows interaction with complex algorithms without requiring technical expertise. By decoupling the presentation layer from the core computation, the system handles heavy model inference and prompt generation on the server side while maintaining a responsive user dashboard. The backend utilizes FastAPI to route data payloads to specific machine learning engines, which run as memory-resident singleton services to ensure low-latency responses.</w:t>
      </w:r>
    </w:p>
    <w:p>
      <w:r>
        <w:pict>
          <v:rect style="width:0;height:1.5pt" o:hralign="center" o:hrstd="t" o:hr="t"/>
        </w:pict>
      </w:r>
    </w:p>
    <w:bookmarkEnd w:id="9"/>
    <w:bookmarkStart w:id="10" w:name="user-input-layer"/>
    <w:p>
      <w:pPr>
        <w:pStyle w:val="Heading2"/>
      </w:pPr>
      <w:r>
        <w:t xml:space="preserve">2. User Input Layer</w:t>
      </w:r>
    </w:p>
    <w:p>
      <w:pPr>
        <w:pStyle w:val="FirstParagraph"/>
      </w:pPr>
      <w:r>
        <w:t xml:space="preserve">The system accepts three distinct categories of data inputs depending on the active module. For plant disease diagnosis, the input layer accepts raw digital images of affected plant leaves uploaded by the user through the dashboard. For the crop suitability recommendation module, the input layer requires quantitative parameters representing soil chemistry and local microclimate. These inputs consist of nitrogen, phosphorus, and potassium levels in kilograms per hectare, soil pH, temperature, relative humidity, and annual rainfall. For the harvest yield forecasting module, the input layer takes categorical and temporal inputs, specifically the geographical state or region, target crop type, planting season, and the specific calendar year for which the forecast is requested.</w:t>
      </w:r>
    </w:p>
    <w:p>
      <w:r>
        <w:pict>
          <v:rect style="width:0;height:1.5pt" o:hralign="center" o:hrstd="t" o:hr="t"/>
        </w:pict>
      </w:r>
    </w:p>
    <w:bookmarkEnd w:id="10"/>
    <w:bookmarkStart w:id="11" w:name="data-preprocessing"/>
    <w:p>
      <w:pPr>
        <w:pStyle w:val="Heading2"/>
      </w:pPr>
      <w:r>
        <w:t xml:space="preserve">3. Data Preprocessing</w:t>
      </w:r>
    </w:p>
    <w:p>
      <w:pPr>
        <w:pStyle w:val="FirstParagraph"/>
      </w:pPr>
      <w:r>
        <w:t xml:space="preserve">Raw inputs must be cleaned and structured before being passed to the machine learning engines. In the disease detection module, uploaded images undergo dynamic resizing to match the input resolutions of the convolutional neural networks (typically 224x224 pixels). The pixel values are normalized using standard mean and standard deviation vectors to align them with the pre-training statistics of the models. For tabular inputs in the crop and yield modules, preprocessing handles missing values, removes extreme outliers, and matches categorical labels. Categorical inputs such as region names, seasons, and crop types are converted into numerical indexes using pre-trained label encoders, ensuring the categorical values map correctly to the mathematical representations expected by the underlying model pipelines.</w:t>
      </w:r>
    </w:p>
    <w:p>
      <w:r>
        <w:pict>
          <v:rect style="width:0;height:1.5pt" o:hralign="center" o:hrstd="t" o:hr="t"/>
        </w:pict>
      </w:r>
    </w:p>
    <w:bookmarkEnd w:id="11"/>
    <w:bookmarkStart w:id="12" w:name="feature-engineering"/>
    <w:p>
      <w:pPr>
        <w:pStyle w:val="Heading2"/>
      </w:pPr>
      <w:r>
        <w:t xml:space="preserve">4. Feature Engineering</w:t>
      </w:r>
    </w:p>
    <w:p>
      <w:pPr>
        <w:pStyle w:val="FirstParagraph"/>
      </w:pPr>
      <w:r>
        <w:t xml:space="preserve">To maximize predictive accuracy, the system transforms raw preprocessed inputs into advanced agronomic features. In the crop recommendation pipeline, the engine calculates nutrient balance ratios, such as the nitrogen-to-phosphorus and potassium-to-nitrogen ratios, which are critical indicators of soil balance. It also derives climate stress indicators that capture combined temperature and humidity factors. In the yield forecasting pipeline, temporal features are extracted to account for historical technology trends over the years. These engineered features are combined with regional indicators to help the model learn how local agricultural yields respond to variations in geography and climate conditions over time.</w:t>
      </w:r>
    </w:p>
    <w:p>
      <w:r>
        <w:pict>
          <v:rect style="width:0;height:1.5pt" o:hralign="center" o:hrstd="t" o:hr="t"/>
        </w:pict>
      </w:r>
    </w:p>
    <w:bookmarkEnd w:id="12"/>
    <w:bookmarkStart w:id="16" w:name="model-execution"/>
    <w:p>
      <w:pPr>
        <w:pStyle w:val="Heading2"/>
      </w:pPr>
      <w:r>
        <w:t xml:space="preserve">5. Model Execution</w:t>
      </w:r>
    </w:p>
    <w:p>
      <w:pPr>
        <w:pStyle w:val="FirstParagraph"/>
      </w:pPr>
      <w:r>
        <w:t xml:space="preserve">Once features are engineered, they are processed by the respective core machine learning pipelines:</w:t>
      </w:r>
    </w:p>
    <w:bookmarkStart w:id="13" w:name="disease-detection-execution"/>
    <w:p>
      <w:pPr>
        <w:pStyle w:val="Heading3"/>
      </w:pPr>
      <w:r>
        <w:t xml:space="preserve">Disease Detection Execution</w:t>
      </w:r>
    </w:p>
    <w:p>
      <w:pPr>
        <w:pStyle w:val="FirstParagraph"/>
      </w:pPr>
      <w:r>
        <w:t xml:space="preserve">The disease detection pipeline uses an ensemble strategy. When an image is received, it is first evaluated by a primary EfficientNet-B0 convolutional neural network. To ensure robustness, the system can execute a secondary ensemble consisting of ResNet-50 and EfficientNet-B1 models. The final classification is determined by combining the prediction probabilities of all active networks. During inference, the system calculates prediction entropy and measures the disagreement level between the different models. If the maximum prediction confidence falls below a set threshold, or if the entropy is excessively high, the system flags the sample as containing an</w:t>
      </w:r>
      <w:r>
        <w:t xml:space="preserve"> </w:t>
      </w:r>
      <w:r>
        <w:t xml:space="preserve">“unknown”</w:t>
      </w:r>
      <w:r>
        <w:t xml:space="preserve"> </w:t>
      </w:r>
      <w:r>
        <w:t xml:space="preserve">disease or poor image quality. Simultaneously, the system computes Gradient-weighted Class Activation Mapping (Grad-CAM), which processes the gradients of the last convolutional layer to generate a spatial heatmap showing which parts of the leaf influenced the classification.</w:t>
      </w:r>
    </w:p>
    <w:bookmarkEnd w:id="13"/>
    <w:bookmarkStart w:id="14" w:name="crop-recommendation-execution"/>
    <w:p>
      <w:pPr>
        <w:pStyle w:val="Heading3"/>
      </w:pPr>
      <w:r>
        <w:t xml:space="preserve">Crop Recommendation Execution</w:t>
      </w:r>
    </w:p>
    <w:p>
      <w:pPr>
        <w:pStyle w:val="FirstParagraph"/>
      </w:pPr>
      <w:r>
        <w:t xml:space="preserve">The crop recommendation engine processes the soil nutrient and climatic vectors using a soft-voting ensemble model. This ensemble combines three distinct algorithms: a Random Forest classifier, an XGBoost classifier, and a LightGBM classifier. Each model independently evaluates the soil and climate features and outputs a probability distribution across all supported crop types. The soft-voting mechanism averages these predicted probabilities across the algorithms. The system then ranks the averaged scores and returns the top crop recommendations along with their calculated suitability percentages.</w:t>
      </w:r>
    </w:p>
    <w:bookmarkEnd w:id="14"/>
    <w:bookmarkStart w:id="15" w:name="yield-prediction-execution"/>
    <w:p>
      <w:pPr>
        <w:pStyle w:val="Heading3"/>
      </w:pPr>
      <w:r>
        <w:t xml:space="preserve">Yield Prediction Execution</w:t>
      </w:r>
    </w:p>
    <w:p>
      <w:pPr>
        <w:pStyle w:val="FirstParagraph"/>
      </w:pPr>
      <w:r>
        <w:t xml:space="preserve">The yield forecasting engine is built around an XGBoost Regressor. Preprocessed inputs representing the region, crop type, season, and year are passed through the regressor to produce a continuous numeric output representing the predicted yield in hectograms per hectare (hg/ha). To make the forecast actionable for planning, this numeric output is mapped against historical regional distribution metrics to classify the yield into one of three ordinal levels: Low, Medium, or High.</w:t>
      </w:r>
    </w:p>
    <w:p>
      <w:r>
        <w:pict>
          <v:rect style="width:0;height:1.5pt" o:hralign="center" o:hrstd="t" o:hr="t"/>
        </w:pict>
      </w:r>
    </w:p>
    <w:bookmarkEnd w:id="15"/>
    <w:bookmarkEnd w:id="16"/>
    <w:bookmarkStart w:id="17" w:name="decision-layer"/>
    <w:p>
      <w:pPr>
        <w:pStyle w:val="Heading2"/>
      </w:pPr>
      <w:r>
        <w:t xml:space="preserve">6. Decision Layer</w:t>
      </w:r>
    </w:p>
    <w:p>
      <w:pPr>
        <w:pStyle w:val="FirstParagraph"/>
      </w:pPr>
      <w:r>
        <w:t xml:space="preserve">The decision layer acts as a quality gate between model execution and output generation. It inspects the statistical properties of the predictions to determine if they are reliable enough for agricultural decision-making. By analyzing the confidence levels of the classification models, the disagreement metrics from the CNN ensemble, and prediction entropy, the decision layer classifies results as either</w:t>
      </w:r>
      <w:r>
        <w:t xml:space="preserve"> </w:t>
      </w:r>
      <w:r>
        <w:t xml:space="preserve">“high confidence”</w:t>
      </w:r>
      <w:r>
        <w:t xml:space="preserve"> </w:t>
      </w:r>
      <w:r>
        <w:t xml:space="preserve">or</w:t>
      </w:r>
      <w:r>
        <w:t xml:space="preserve"> </w:t>
      </w:r>
      <w:r>
        <w:t xml:space="preserve">“uncertain.”</w:t>
      </w:r>
      <w:r>
        <w:t xml:space="preserve"> </w:t>
      </w:r>
      <w:r>
        <w:t xml:space="preserve">If the models display high disagreement or low confidence, the decision layer intercepts the output, labels the prediction as uncertain, and guides the user to submit clearer data or verify their inputs. This prevents the system from giving incorrect advice based on low-quality inputs.</w:t>
      </w:r>
    </w:p>
    <w:p>
      <w:r>
        <w:pict>
          <v:rect style="width:0;height:1.5pt" o:hralign="center" o:hrstd="t" o:hr="t"/>
        </w:pict>
      </w:r>
    </w:p>
    <w:bookmarkEnd w:id="17"/>
    <w:bookmarkStart w:id="18" w:name="output-generation"/>
    <w:p>
      <w:pPr>
        <w:pStyle w:val="Heading2"/>
      </w:pPr>
      <w:r>
        <w:t xml:space="preserve">7. Output Generation</w:t>
      </w:r>
    </w:p>
    <w:p>
      <w:pPr>
        <w:pStyle w:val="FirstParagraph"/>
      </w:pPr>
      <w:r>
        <w:t xml:space="preserve">Once a prediction passes the decision layer, the system generates structured outputs. For disease detection, the system outputs the identified plant species, the specific disease label, a confidence percentage, and the path to the generated Grad-CAM heatmap overlay. For crop recommendation, the system displays the primary crop recommendation alongside alternative choices ranked by suitability. For yield prediction, the output includes the estimated harvest density, the yield category (Low, Medium, or High), and an estimated margin of uncertainty.</w:t>
      </w:r>
    </w:p>
    <w:p>
      <w:r>
        <w:pict>
          <v:rect style="width:0;height:1.5pt" o:hralign="center" o:hrstd="t" o:hr="t"/>
        </w:pict>
      </w:r>
    </w:p>
    <w:bookmarkEnd w:id="18"/>
    <w:bookmarkStart w:id="19" w:name="analysis-layer"/>
    <w:p>
      <w:pPr>
        <w:pStyle w:val="Heading2"/>
      </w:pPr>
      <w:r>
        <w:t xml:space="preserve">8. Analysis Layer</w:t>
      </w:r>
    </w:p>
    <w:p>
      <w:pPr>
        <w:pStyle w:val="FirstParagraph"/>
      </w:pPr>
      <w:r>
        <w:t xml:space="preserve">The analysis layer translates raw model outputs into agricultural context. Instead of just displaying numbers, it explains the reasoning behind the predictions. For example, if a low yield is predicted, the analysis layer identifies key limiting factors, such as suboptimal rainfall patterns or historical soil nutrient degradation in that region. If a specific crop is recommended, it analyzes how the current climate values align with the physiological requirements of that crop, providing agronomic reasoning to support the prediction.</w:t>
      </w:r>
    </w:p>
    <w:p>
      <w:r>
        <w:pict>
          <v:rect style="width:0;height:1.5pt" o:hralign="center" o:hrstd="t" o:hr="t"/>
        </w:pict>
      </w:r>
    </w:p>
    <w:bookmarkEnd w:id="19"/>
    <w:bookmarkStart w:id="20" w:name="recommendation-layer"/>
    <w:p>
      <w:pPr>
        <w:pStyle w:val="Heading2"/>
      </w:pPr>
      <w:r>
        <w:t xml:space="preserve">9. Recommendation Layer</w:t>
      </w:r>
    </w:p>
    <w:p>
      <w:pPr>
        <w:pStyle w:val="FirstParagraph"/>
      </w:pPr>
      <w:r>
        <w:t xml:space="preserve">The recommendation layer translates the system’s analysis into actionable field steps. For disease diagnostics, it provides biological and chemical treatment options, including advice on chemical spray application rates, crop spacing adjustments, and humidity management. For crop recommendations, it suggests optimal fertilizer dosing (N-P-K additions) and irrigation schedules designed to bring the soil chemistry into alignment with the crop’s needs. For yield forecasts, the layer suggests best practices, pest monitoring schedules, and management strategies to help mitigate identified risks.</w:t>
      </w:r>
    </w:p>
    <w:p>
      <w:r>
        <w:pict>
          <v:rect style="width:0;height:1.5pt" o:hralign="center" o:hrstd="t" o:hr="t"/>
        </w:pict>
      </w:r>
    </w:p>
    <w:bookmarkEnd w:id="20"/>
    <w:bookmarkStart w:id="21" w:name="visualization-dashboard"/>
    <w:p>
      <w:pPr>
        <w:pStyle w:val="Heading2"/>
      </w:pPr>
      <w:r>
        <w:t xml:space="preserve">10. Visualization &amp; Dashboard</w:t>
      </w:r>
    </w:p>
    <w:p>
      <w:pPr>
        <w:pStyle w:val="FirstParagraph"/>
      </w:pPr>
      <w:r>
        <w:t xml:space="preserve">The frontend dashboard presents complex data through interactive elements. Historical yield records and predicted yields are rendered as line graphs and comparison bar charts, allowing users to analyze long-term production trends. The user interface displays suitability comparisons between different crops in a radar chart or categorized grid. Smart warning banners are dynamically rendered if the system detects environmental risks, low-confidence input files, or extreme climate factors in the user’s data.</w:t>
      </w:r>
    </w:p>
    <w:p>
      <w:r>
        <w:pict>
          <v:rect style="width:0;height:1.5pt" o:hralign="center" o:hrstd="t" o:hr="t"/>
        </w:pict>
      </w:r>
    </w:p>
    <w:bookmarkEnd w:id="21"/>
    <w:bookmarkStart w:id="22" w:name="final-system-integration"/>
    <w:p>
      <w:pPr>
        <w:pStyle w:val="Heading2"/>
      </w:pPr>
      <w:r>
        <w:t xml:space="preserve">11. Final System Integration</w:t>
      </w:r>
    </w:p>
    <w:p>
      <w:pPr>
        <w:pStyle w:val="FirstParagraph"/>
      </w:pPr>
      <w:r>
        <w:t xml:space="preserve">The components of the system are unified by a high-performance backend built on FastAPI. The backend exposes RESTful endpoints that accept incoming data payloads, coordinate the preprocessing and execution pipelines, handle model files, and format JSON responses. By encapsulating each module (disease, crop, yield) within separate directories, the architecture allows components to be modified, retrained, or upgraded independently without affecting the rest of the application.</w:t>
      </w:r>
    </w:p>
    <w:p>
      <w:r>
        <w:pict>
          <v:rect style="width:0;height:1.5pt" o:hralign="center" o:hrstd="t" o:hr="t"/>
        </w:pict>
      </w:r>
    </w:p>
    <w:bookmarkEnd w:id="22"/>
    <w:bookmarkStart w:id="23" w:name="conclusion"/>
    <w:p>
      <w:pPr>
        <w:pStyle w:val="Heading2"/>
      </w:pPr>
      <w:r>
        <w:t xml:space="preserve">12. Conclusion</w:t>
      </w:r>
    </w:p>
    <w:p>
      <w:pPr>
        <w:pStyle w:val="FirstParagraph"/>
      </w:pPr>
      <w:r>
        <w:t xml:space="preserve">In conclusion, the Smart Agriculture AI System goes beyond basic predictive modeling by acting as an intelligent decision support platform. By combining deep learning computer vision, machine learning ensembles, and generative explanations, the system provides farmers with clear, actionable insights. This integrated approach helps mitigate risks, improve resource use, and support sustainable farming practices.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2026-05-29T10:58:19Z</dcterms:created>
  <dcterms:modified xsi:type="dcterms:W3CDTF">2026-05-29T10:58:19Z</dcterms:modified>
</cp:coreProperties>
</file>

<file path=docProps/custom.xml><?xml version="1.0" encoding="utf-8"?>
<Properties xmlns="http://schemas.openxmlformats.org/officeDocument/2006/custom-properties" xmlns:vt="http://schemas.openxmlformats.org/officeDocument/2006/docPropsVTypes"/>
</file>