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56316B" w:rsidTr="00031F20">
        <w:tc>
          <w:tcPr>
            <w:tcW w:w="2113" w:type="dxa"/>
          </w:tcPr>
          <w:p w:rsidR="0050616E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56316B">
              <w:rPr>
                <w:rFonts w:ascii="Arial" w:hAnsi="Arial" w:cs="Arial"/>
                <w:b/>
              </w:rPr>
              <w:t xml:space="preserve">ACTA No. </w:t>
            </w:r>
          </w:p>
          <w:p w:rsidR="00600F84" w:rsidRPr="00600F84" w:rsidRDefault="00600F84" w:rsidP="007B2047">
            <w:pPr>
              <w:jc w:val="center"/>
              <w:rPr>
                <w:rFonts w:ascii="Arial" w:hAnsi="Arial" w:cs="Arial"/>
              </w:rPr>
            </w:pPr>
            <w:r w:rsidRPr="00600F84">
              <w:rPr>
                <w:rFonts w:ascii="Arial" w:hAnsi="Arial" w:cs="Arial"/>
              </w:rPr>
              <w:t>1546</w:t>
            </w:r>
          </w:p>
          <w:p w:rsidR="0050616E" w:rsidRPr="0056316B" w:rsidRDefault="009B3E69" w:rsidP="00600F84">
            <w:pPr>
              <w:jc w:val="center"/>
              <w:rPr>
                <w:rFonts w:ascii="Arial" w:hAnsi="Arial" w:cs="Arial"/>
                <w:b/>
              </w:rPr>
            </w:pPr>
            <w:r w:rsidRPr="0056316B">
              <w:rPr>
                <w:rFonts w:ascii="Arial" w:hAnsi="Arial" w:cs="Arial"/>
              </w:rPr>
              <w:t>Reunión de Seguimiento</w:t>
            </w:r>
            <w:r w:rsidR="0050616E" w:rsidRPr="0056316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41" w:type="dxa"/>
          </w:tcPr>
          <w:p w:rsidR="0050616E" w:rsidRPr="0056316B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56316B">
              <w:rPr>
                <w:rFonts w:ascii="Arial" w:hAnsi="Arial" w:cs="Arial"/>
                <w:b/>
              </w:rPr>
              <w:t>LUGAR:</w:t>
            </w:r>
          </w:p>
          <w:p w:rsidR="0050616E" w:rsidRPr="0056316B" w:rsidRDefault="003B5D2A" w:rsidP="00031F20">
            <w:pPr>
              <w:jc w:val="center"/>
              <w:rPr>
                <w:rFonts w:ascii="Arial" w:hAnsi="Arial" w:cs="Arial"/>
              </w:rPr>
            </w:pPr>
            <w:r w:rsidRPr="0056316B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56316B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56316B">
              <w:rPr>
                <w:rFonts w:ascii="Arial" w:hAnsi="Arial" w:cs="Arial"/>
                <w:b/>
              </w:rPr>
              <w:t>FECHA:</w:t>
            </w:r>
          </w:p>
          <w:p w:rsidR="002D3379" w:rsidRPr="0056316B" w:rsidRDefault="003B5D2A" w:rsidP="009B3E69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56316B">
              <w:rPr>
                <w:rFonts w:ascii="Arial" w:hAnsi="Arial" w:cs="Arial"/>
              </w:rPr>
              <w:t>2013</w:t>
            </w:r>
            <w:r w:rsidR="0050616E" w:rsidRPr="0056316B">
              <w:rPr>
                <w:rFonts w:ascii="Arial" w:hAnsi="Arial" w:cs="Arial"/>
              </w:rPr>
              <w:t>-</w:t>
            </w:r>
            <w:r w:rsidR="009B3E69" w:rsidRPr="0056316B">
              <w:rPr>
                <w:rFonts w:ascii="Arial" w:hAnsi="Arial" w:cs="Arial"/>
              </w:rPr>
              <w:t>12</w:t>
            </w:r>
            <w:r w:rsidR="0050616E" w:rsidRPr="0056316B">
              <w:rPr>
                <w:rFonts w:ascii="Arial" w:hAnsi="Arial" w:cs="Arial"/>
              </w:rPr>
              <w:t>-</w:t>
            </w:r>
            <w:r w:rsidRPr="0056316B">
              <w:rPr>
                <w:rFonts w:ascii="Arial" w:hAnsi="Arial" w:cs="Arial"/>
              </w:rPr>
              <w:t>1</w:t>
            </w:r>
            <w:r w:rsidR="009B3E69" w:rsidRPr="0056316B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:rsidR="0050616E" w:rsidRPr="0056316B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56316B">
              <w:rPr>
                <w:rFonts w:ascii="Arial" w:hAnsi="Arial" w:cs="Arial"/>
                <w:b/>
              </w:rPr>
              <w:t>HORA DE INICIO:</w:t>
            </w:r>
          </w:p>
          <w:p w:rsidR="0050616E" w:rsidRPr="0056316B" w:rsidRDefault="009B3E69" w:rsidP="007B2047">
            <w:pPr>
              <w:jc w:val="center"/>
              <w:rPr>
                <w:rFonts w:ascii="Arial" w:hAnsi="Arial" w:cs="Arial"/>
              </w:rPr>
            </w:pPr>
            <w:r w:rsidRPr="0056316B">
              <w:rPr>
                <w:rFonts w:ascii="Arial" w:hAnsi="Arial" w:cs="Arial"/>
              </w:rPr>
              <w:t>08:30</w:t>
            </w:r>
          </w:p>
          <w:p w:rsidR="0050616E" w:rsidRPr="0056316B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56316B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56316B">
              <w:rPr>
                <w:rFonts w:ascii="Arial" w:hAnsi="Arial" w:cs="Arial"/>
                <w:b/>
              </w:rPr>
              <w:t>HORA FINAL:</w:t>
            </w:r>
          </w:p>
          <w:p w:rsidR="0050616E" w:rsidRPr="0056316B" w:rsidRDefault="00297A57" w:rsidP="0007086F">
            <w:pPr>
              <w:jc w:val="center"/>
              <w:rPr>
                <w:rFonts w:ascii="Arial" w:hAnsi="Arial" w:cs="Arial"/>
              </w:rPr>
            </w:pPr>
            <w:r w:rsidRPr="0056316B">
              <w:rPr>
                <w:rFonts w:ascii="Arial" w:hAnsi="Arial" w:cs="Arial"/>
              </w:rPr>
              <w:t>10</w:t>
            </w:r>
            <w:r w:rsidR="003B5D2A" w:rsidRPr="0056316B">
              <w:rPr>
                <w:rFonts w:ascii="Arial" w:hAnsi="Arial" w:cs="Arial"/>
              </w:rPr>
              <w:t>:00</w:t>
            </w:r>
          </w:p>
        </w:tc>
      </w:tr>
    </w:tbl>
    <w:p w:rsidR="00FA69F1" w:rsidRPr="0056316B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56316B" w:rsidTr="00D51277">
        <w:trPr>
          <w:tblHeader/>
        </w:trPr>
        <w:tc>
          <w:tcPr>
            <w:tcW w:w="9782" w:type="dxa"/>
          </w:tcPr>
          <w:p w:rsidR="00FA69F1" w:rsidRPr="0056316B" w:rsidRDefault="0050616E" w:rsidP="0050616E">
            <w:pPr>
              <w:jc w:val="center"/>
              <w:rPr>
                <w:rFonts w:ascii="Arial" w:hAnsi="Arial" w:cs="Arial"/>
                <w:b/>
              </w:rPr>
            </w:pPr>
            <w:r w:rsidRPr="0056316B">
              <w:rPr>
                <w:rFonts w:ascii="Arial" w:hAnsi="Arial" w:cs="Arial"/>
                <w:b/>
              </w:rPr>
              <w:t>OBJETIVO</w:t>
            </w:r>
          </w:p>
        </w:tc>
      </w:tr>
      <w:tr w:rsidR="00FA69F1" w:rsidRPr="0056316B" w:rsidTr="000E0199">
        <w:trPr>
          <w:trHeight w:val="361"/>
        </w:trPr>
        <w:tc>
          <w:tcPr>
            <w:tcW w:w="9782" w:type="dxa"/>
          </w:tcPr>
          <w:p w:rsidR="00FA69F1" w:rsidRPr="0056316B" w:rsidRDefault="00752FF1" w:rsidP="003B5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de seguimiento semanal - Semana 3 -</w:t>
            </w:r>
            <w:r w:rsidR="009B3E69" w:rsidRPr="0056316B">
              <w:rPr>
                <w:rFonts w:ascii="Arial" w:hAnsi="Arial" w:cs="Arial"/>
              </w:rPr>
              <w:t xml:space="preserve"> Proyecto Soluciones Móviles 4</w:t>
            </w:r>
          </w:p>
        </w:tc>
      </w:tr>
    </w:tbl>
    <w:p w:rsidR="00FA69F1" w:rsidRPr="0056316B" w:rsidRDefault="00FA69F1" w:rsidP="001A4105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56316B" w:rsidTr="00D51277">
        <w:trPr>
          <w:tblHeader/>
        </w:trPr>
        <w:tc>
          <w:tcPr>
            <w:tcW w:w="9782" w:type="dxa"/>
          </w:tcPr>
          <w:p w:rsidR="0050616E" w:rsidRPr="0056316B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56316B">
              <w:rPr>
                <w:rFonts w:ascii="Arial" w:hAnsi="Arial" w:cs="Arial"/>
                <w:b/>
              </w:rPr>
              <w:t>ORDEN DEL DÍA</w:t>
            </w:r>
          </w:p>
        </w:tc>
      </w:tr>
      <w:tr w:rsidR="0050616E" w:rsidRPr="0056316B" w:rsidTr="00D51277">
        <w:trPr>
          <w:trHeight w:val="917"/>
        </w:trPr>
        <w:tc>
          <w:tcPr>
            <w:tcW w:w="9782" w:type="dxa"/>
          </w:tcPr>
          <w:p w:rsidR="00205193" w:rsidRPr="0056316B" w:rsidRDefault="009B3E69" w:rsidP="009B3E69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6316B">
              <w:rPr>
                <w:rFonts w:ascii="Arial" w:hAnsi="Arial" w:cs="Arial"/>
              </w:rPr>
              <w:t>Revisión Informe Semanal</w:t>
            </w:r>
          </w:p>
          <w:p w:rsidR="009B3E69" w:rsidRDefault="000F7387" w:rsidP="009B3E69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Resumen de proyecto</w:t>
            </w:r>
          </w:p>
          <w:p w:rsidR="000F7387" w:rsidRDefault="000F7387" w:rsidP="009B3E69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Riesgos</w:t>
            </w:r>
          </w:p>
          <w:p w:rsidR="000F7387" w:rsidRPr="0056316B" w:rsidRDefault="000F7387" w:rsidP="009B3E69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</w:t>
            </w:r>
          </w:p>
        </w:tc>
      </w:tr>
    </w:tbl>
    <w:p w:rsidR="00FA69F1" w:rsidRPr="0056316B" w:rsidRDefault="00FA69F1" w:rsidP="00DE0239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56316B" w:rsidTr="00D51277">
        <w:trPr>
          <w:tblHeader/>
        </w:trPr>
        <w:tc>
          <w:tcPr>
            <w:tcW w:w="9782" w:type="dxa"/>
          </w:tcPr>
          <w:p w:rsidR="00FA69F1" w:rsidRPr="0056316B" w:rsidRDefault="00DE0239" w:rsidP="00DE0239">
            <w:pPr>
              <w:jc w:val="center"/>
              <w:rPr>
                <w:rFonts w:ascii="Arial" w:hAnsi="Arial" w:cs="Arial"/>
              </w:rPr>
            </w:pPr>
            <w:r w:rsidRPr="0056316B">
              <w:rPr>
                <w:rFonts w:ascii="Arial" w:hAnsi="Arial" w:cs="Arial"/>
                <w:b/>
              </w:rPr>
              <w:t>CONTENIDO</w:t>
            </w:r>
          </w:p>
        </w:tc>
      </w:tr>
      <w:tr w:rsidR="00FA69F1" w:rsidRPr="0056316B" w:rsidTr="00D51277">
        <w:tc>
          <w:tcPr>
            <w:tcW w:w="9782" w:type="dxa"/>
          </w:tcPr>
          <w:p w:rsidR="009B3E69" w:rsidRPr="00C35631" w:rsidRDefault="009B3E69" w:rsidP="009B3E6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C35631">
              <w:rPr>
                <w:rFonts w:ascii="Arial" w:hAnsi="Arial" w:cs="Arial"/>
                <w:b/>
              </w:rPr>
              <w:t>Revisión Informe Semanal</w:t>
            </w:r>
          </w:p>
          <w:p w:rsidR="009B3E69" w:rsidRPr="00C35631" w:rsidRDefault="009B3E69" w:rsidP="009B3E69">
            <w:pPr>
              <w:rPr>
                <w:rFonts w:ascii="Arial" w:hAnsi="Arial" w:cs="Arial"/>
              </w:rPr>
            </w:pPr>
          </w:p>
          <w:p w:rsidR="00205193" w:rsidRPr="00C35631" w:rsidRDefault="009B3E69" w:rsidP="00205193">
            <w:p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La Unión Temporal Software Works en adelante denominada UTSW</w:t>
            </w:r>
            <w:r w:rsidR="00C87C6A">
              <w:rPr>
                <w:rFonts w:ascii="Arial" w:hAnsi="Arial" w:cs="Arial"/>
              </w:rPr>
              <w:t>,</w:t>
            </w:r>
            <w:r w:rsidRPr="00C35631">
              <w:rPr>
                <w:rFonts w:ascii="Arial" w:hAnsi="Arial" w:cs="Arial"/>
              </w:rPr>
              <w:t xml:space="preserve"> presenta a la Interventoría, Gobierno en Línea en adelante mencionado como GEL y Secretaria de </w:t>
            </w:r>
            <w:r w:rsidR="00C87C6A">
              <w:rPr>
                <w:rFonts w:ascii="Arial" w:hAnsi="Arial" w:cs="Arial"/>
              </w:rPr>
              <w:t>T</w:t>
            </w:r>
            <w:r w:rsidRPr="00C35631">
              <w:rPr>
                <w:rFonts w:ascii="Arial" w:hAnsi="Arial" w:cs="Arial"/>
              </w:rPr>
              <w:t>ransparencia el informe semanal No 3, en el cual se encuentra el alcance del proyecto y se expone el resumen del  de los días ejecutados.</w:t>
            </w:r>
          </w:p>
          <w:p w:rsidR="009720BA" w:rsidRPr="00C35631" w:rsidRDefault="009720BA" w:rsidP="00205193">
            <w:pPr>
              <w:jc w:val="both"/>
              <w:rPr>
                <w:rFonts w:ascii="Arial" w:hAnsi="Arial" w:cs="Arial"/>
              </w:rPr>
            </w:pPr>
          </w:p>
          <w:p w:rsidR="009720BA" w:rsidRPr="00C35631" w:rsidRDefault="009720BA" w:rsidP="00AE089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</w:rPr>
            </w:pPr>
            <w:r w:rsidRPr="00C35631">
              <w:rPr>
                <w:rFonts w:ascii="Arial" w:hAnsi="Arial" w:cs="Arial"/>
                <w:b/>
              </w:rPr>
              <w:t>Resumen del Proyecto.</w:t>
            </w:r>
          </w:p>
          <w:p w:rsidR="009720BA" w:rsidRPr="00C35631" w:rsidRDefault="009720BA" w:rsidP="009720BA">
            <w:pPr>
              <w:pStyle w:val="Prrafodelista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AE089B" w:rsidRPr="00C35631" w:rsidRDefault="00AE089B" w:rsidP="009720B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LA UTSW  realiza la presentación del resumen del proyecto y las actividades que se realizaron durante el periodo de este informe</w:t>
            </w:r>
            <w:r w:rsidR="009720BA" w:rsidRPr="00C35631">
              <w:rPr>
                <w:rFonts w:ascii="Arial" w:hAnsi="Arial" w:cs="Arial"/>
              </w:rPr>
              <w:t>:</w:t>
            </w:r>
          </w:p>
          <w:p w:rsidR="009720BA" w:rsidRPr="00C35631" w:rsidRDefault="009720BA" w:rsidP="009720BA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La UTSW ejecutó actividades del Sprint  1 de Elefantes Blancos Móvil y Sprint 2 Administrador Elefantes Blancos, del cual logra un avance general del 18% con respecto al 19% planeado en el total del proyecto. El avance de las dos soluciones es el  siguiente:</w:t>
            </w:r>
          </w:p>
          <w:p w:rsidR="009720BA" w:rsidRPr="00C35631" w:rsidRDefault="009720BA" w:rsidP="009720BA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Elefantes Blancos Móvil</w:t>
            </w:r>
          </w:p>
          <w:p w:rsidR="009720BA" w:rsidRPr="00C35631" w:rsidRDefault="009720BA" w:rsidP="00934309">
            <w:pPr>
              <w:pStyle w:val="Prrafodelista"/>
              <w:numPr>
                <w:ilvl w:val="2"/>
                <w:numId w:val="16"/>
              </w:numPr>
              <w:ind w:left="1452" w:hanging="425"/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Sprint 1 Avance 52% con respecto al 55% planeado</w:t>
            </w:r>
          </w:p>
          <w:p w:rsidR="009720BA" w:rsidRPr="00C35631" w:rsidRDefault="009720BA" w:rsidP="009720BA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Elefantes Blancos Administrador</w:t>
            </w:r>
          </w:p>
          <w:p w:rsidR="009720BA" w:rsidRPr="00C35631" w:rsidRDefault="009720BA" w:rsidP="00934309">
            <w:pPr>
              <w:pStyle w:val="Prrafodelista"/>
              <w:numPr>
                <w:ilvl w:val="2"/>
                <w:numId w:val="16"/>
              </w:numPr>
              <w:ind w:left="1452" w:hanging="425"/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Sprint 2 Avance 29% con respecto al 30% planeado</w:t>
            </w:r>
          </w:p>
          <w:p w:rsidR="009720BA" w:rsidRPr="00C35631" w:rsidRDefault="009720BA" w:rsidP="009720BA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Se realizó la reunión de presentación de las Vistas de Casos de Uso Administrador  y los ajustes al diseño gráfico de EB Administrador, se realizó la reunión de seguimiento presentando el Informe N2 del proyecto.</w:t>
            </w:r>
          </w:p>
          <w:p w:rsidR="009720BA" w:rsidRPr="00C35631" w:rsidRDefault="009720BA" w:rsidP="009720BA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La UTSW está trabajando en el desarrollo de la solución móvil Elefantes Blancos en la plataforma Android y iOS, y los servicios REST, además está trabajando en las historias de usuario de Elefantes Blancos ADM, se dio inicio al desarrollo de ADM de EB.</w:t>
            </w:r>
          </w:p>
          <w:p w:rsidR="000F7387" w:rsidRDefault="000F7387" w:rsidP="000F7387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752FF1" w:rsidRPr="00C35631" w:rsidRDefault="00752FF1" w:rsidP="000F7387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0F7387" w:rsidRPr="00C35631" w:rsidRDefault="000F7387" w:rsidP="000F7387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0F7387" w:rsidRPr="00C35631" w:rsidRDefault="000F7387" w:rsidP="000F738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</w:rPr>
            </w:pPr>
            <w:r w:rsidRPr="00C35631">
              <w:rPr>
                <w:rFonts w:ascii="Arial" w:hAnsi="Arial" w:cs="Arial"/>
                <w:b/>
              </w:rPr>
              <w:lastRenderedPageBreak/>
              <w:t>Riesgos</w:t>
            </w:r>
          </w:p>
          <w:p w:rsidR="000F7387" w:rsidRPr="00C35631" w:rsidRDefault="000F7387" w:rsidP="000F7387">
            <w:pPr>
              <w:pStyle w:val="Prrafodelista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0F7387" w:rsidRPr="00C35631" w:rsidRDefault="004C0738" w:rsidP="000F738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 xml:space="preserve">La UTSW informa a las partes que se incluyó como un riesgo el cambio de los requerimientos </w:t>
            </w:r>
            <w:r w:rsidR="00AD4679" w:rsidRPr="00C35631">
              <w:rPr>
                <w:rFonts w:ascii="Arial" w:hAnsi="Arial" w:cs="Arial"/>
              </w:rPr>
              <w:t xml:space="preserve"> por los ajustes que se presentaron en </w:t>
            </w:r>
            <w:r w:rsidR="002216CF" w:rsidRPr="00C35631">
              <w:rPr>
                <w:rFonts w:ascii="Arial" w:hAnsi="Arial" w:cs="Arial"/>
              </w:rPr>
              <w:t>el tema de</w:t>
            </w:r>
            <w:r w:rsidR="00AD4679" w:rsidRPr="00C35631">
              <w:rPr>
                <w:rFonts w:ascii="Arial" w:hAnsi="Arial" w:cs="Arial"/>
              </w:rPr>
              <w:t xml:space="preserve"> aceptación de términos y condiciones que van incluidos en la aplicación EBM, se incluye como riesgo </w:t>
            </w:r>
            <w:r w:rsidR="00934309" w:rsidRPr="00C35631">
              <w:rPr>
                <w:rFonts w:ascii="Arial" w:hAnsi="Arial" w:cs="Arial"/>
              </w:rPr>
              <w:t xml:space="preserve">porque </w:t>
            </w:r>
            <w:r w:rsidR="00AD4679" w:rsidRPr="00C35631">
              <w:rPr>
                <w:rFonts w:ascii="Arial" w:hAnsi="Arial" w:cs="Arial"/>
              </w:rPr>
              <w:t xml:space="preserve">depende de los acuerdos a los que la entidad Secretaría de Transparencia llegue con los abogados de esta entidad con respecto al tema </w:t>
            </w:r>
            <w:r w:rsidR="002216CF" w:rsidRPr="00C35631">
              <w:rPr>
                <w:rFonts w:ascii="Arial" w:hAnsi="Arial" w:cs="Arial"/>
              </w:rPr>
              <w:t>ya mencionad</w:t>
            </w:r>
            <w:r w:rsidR="00934309" w:rsidRPr="00C35631">
              <w:rPr>
                <w:rFonts w:ascii="Arial" w:hAnsi="Arial" w:cs="Arial"/>
              </w:rPr>
              <w:t>o</w:t>
            </w:r>
            <w:r w:rsidR="002216CF" w:rsidRPr="00C35631">
              <w:rPr>
                <w:rFonts w:ascii="Arial" w:hAnsi="Arial" w:cs="Arial"/>
              </w:rPr>
              <w:t xml:space="preserve">, </w:t>
            </w:r>
            <w:r w:rsidR="00934309" w:rsidRPr="00C35631">
              <w:rPr>
                <w:rFonts w:ascii="Arial" w:hAnsi="Arial" w:cs="Arial"/>
              </w:rPr>
              <w:t>debido a</w:t>
            </w:r>
            <w:r w:rsidR="002216CF" w:rsidRPr="00C35631">
              <w:rPr>
                <w:rFonts w:ascii="Arial" w:hAnsi="Arial" w:cs="Arial"/>
              </w:rPr>
              <w:t xml:space="preserve"> que este cambio en la aplicación puede ser simple o puede ser complejo, la UTSW </w:t>
            </w:r>
            <w:r w:rsidR="00934309" w:rsidRPr="00C35631">
              <w:rPr>
                <w:rFonts w:ascii="Arial" w:hAnsi="Arial" w:cs="Arial"/>
              </w:rPr>
              <w:t xml:space="preserve">solicita a la Secretaría de Transparencia realizar la definición </w:t>
            </w:r>
            <w:r w:rsidR="00D46CD6">
              <w:rPr>
                <w:rFonts w:ascii="Arial" w:hAnsi="Arial" w:cs="Arial"/>
              </w:rPr>
              <w:t xml:space="preserve">de estos textos de manera </w:t>
            </w:r>
            <w:r w:rsidR="002216CF" w:rsidRPr="00C35631">
              <w:rPr>
                <w:rFonts w:ascii="Arial" w:hAnsi="Arial" w:cs="Arial"/>
              </w:rPr>
              <w:t xml:space="preserve">urgente </w:t>
            </w:r>
            <w:r w:rsidR="00934309" w:rsidRPr="00C35631">
              <w:rPr>
                <w:rFonts w:ascii="Arial" w:hAnsi="Arial" w:cs="Arial"/>
              </w:rPr>
              <w:t>ya</w:t>
            </w:r>
            <w:r w:rsidR="002216CF" w:rsidRPr="00C35631">
              <w:rPr>
                <w:rFonts w:ascii="Arial" w:hAnsi="Arial" w:cs="Arial"/>
              </w:rPr>
              <w:t xml:space="preserve"> que </w:t>
            </w:r>
            <w:r w:rsidR="00934309" w:rsidRPr="00C35631">
              <w:rPr>
                <w:rFonts w:ascii="Arial" w:hAnsi="Arial" w:cs="Arial"/>
              </w:rPr>
              <w:t>esto puede generar</w:t>
            </w:r>
            <w:r w:rsidR="002216CF" w:rsidRPr="00C35631">
              <w:rPr>
                <w:rFonts w:ascii="Arial" w:hAnsi="Arial" w:cs="Arial"/>
              </w:rPr>
              <w:t xml:space="preserve"> demoras en la entrega del producto.</w:t>
            </w:r>
          </w:p>
          <w:p w:rsidR="000F7387" w:rsidRPr="00C35631" w:rsidRDefault="000F7387" w:rsidP="000F7387">
            <w:pPr>
              <w:jc w:val="both"/>
              <w:rPr>
                <w:rFonts w:ascii="Arial" w:hAnsi="Arial" w:cs="Arial"/>
              </w:rPr>
            </w:pPr>
          </w:p>
          <w:p w:rsidR="000F7387" w:rsidRPr="00C35631" w:rsidRDefault="000F7387" w:rsidP="000F738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</w:rPr>
            </w:pPr>
            <w:r w:rsidRPr="00C35631">
              <w:rPr>
                <w:rFonts w:ascii="Arial" w:hAnsi="Arial" w:cs="Arial"/>
                <w:b/>
              </w:rPr>
              <w:t>Otros</w:t>
            </w:r>
          </w:p>
          <w:p w:rsidR="000F7387" w:rsidRPr="00C35631" w:rsidRDefault="000F7387" w:rsidP="000F7387">
            <w:pPr>
              <w:pStyle w:val="Prrafodelista"/>
              <w:ind w:left="360"/>
              <w:jc w:val="both"/>
              <w:rPr>
                <w:rFonts w:ascii="Arial" w:hAnsi="Arial" w:cs="Arial"/>
                <w:b/>
              </w:rPr>
            </w:pPr>
          </w:p>
          <w:p w:rsidR="00C35631" w:rsidRPr="00C35631" w:rsidRDefault="00FC1237" w:rsidP="009720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 xml:space="preserve">La </w:t>
            </w:r>
            <w:r w:rsidR="00926EB8" w:rsidRPr="00C35631">
              <w:rPr>
                <w:rFonts w:ascii="Arial" w:hAnsi="Arial" w:cs="Arial"/>
              </w:rPr>
              <w:t>interventoría</w:t>
            </w:r>
            <w:r w:rsidRPr="00C35631">
              <w:rPr>
                <w:rFonts w:ascii="Arial" w:hAnsi="Arial" w:cs="Arial"/>
              </w:rPr>
              <w:t xml:space="preserve"> </w:t>
            </w:r>
            <w:r w:rsidR="00934309" w:rsidRPr="00C35631">
              <w:rPr>
                <w:rFonts w:ascii="Arial" w:hAnsi="Arial" w:cs="Arial"/>
              </w:rPr>
              <w:t>pregunta a la UTSW en que se está</w:t>
            </w:r>
            <w:r w:rsidRPr="00C35631">
              <w:rPr>
                <w:rFonts w:ascii="Arial" w:hAnsi="Arial" w:cs="Arial"/>
              </w:rPr>
              <w:t xml:space="preserve"> </w:t>
            </w:r>
            <w:r w:rsidR="00934309" w:rsidRPr="00C35631">
              <w:rPr>
                <w:rFonts w:ascii="Arial" w:hAnsi="Arial" w:cs="Arial"/>
              </w:rPr>
              <w:t>desarrollando la aplicación</w:t>
            </w:r>
            <w:r w:rsidR="00C87C6A">
              <w:rPr>
                <w:rFonts w:ascii="Arial" w:hAnsi="Arial" w:cs="Arial"/>
              </w:rPr>
              <w:t xml:space="preserve"> web para administración</w:t>
            </w:r>
            <w:r w:rsidR="00934309" w:rsidRPr="00C35631">
              <w:rPr>
                <w:rFonts w:ascii="Arial" w:hAnsi="Arial" w:cs="Arial"/>
              </w:rPr>
              <w:t xml:space="preserve"> </w:t>
            </w:r>
            <w:r w:rsidR="004F15CC">
              <w:rPr>
                <w:rFonts w:ascii="Arial" w:hAnsi="Arial" w:cs="Arial"/>
              </w:rPr>
              <w:t xml:space="preserve">de </w:t>
            </w:r>
            <w:r w:rsidR="004F15CC" w:rsidRPr="00C35631">
              <w:rPr>
                <w:rFonts w:ascii="Arial" w:hAnsi="Arial" w:cs="Arial"/>
              </w:rPr>
              <w:t>Elefantes Blancos</w:t>
            </w:r>
            <w:r w:rsidR="00D35CF0" w:rsidRPr="00C35631">
              <w:rPr>
                <w:rFonts w:ascii="Arial" w:hAnsi="Arial" w:cs="Arial"/>
              </w:rPr>
              <w:t xml:space="preserve">, </w:t>
            </w:r>
            <w:r w:rsidR="00467BB0" w:rsidRPr="00C35631">
              <w:rPr>
                <w:rFonts w:ascii="Arial" w:hAnsi="Arial" w:cs="Arial"/>
              </w:rPr>
              <w:t xml:space="preserve">la </w:t>
            </w:r>
            <w:r w:rsidR="00D35CF0" w:rsidRPr="00C35631">
              <w:rPr>
                <w:rFonts w:ascii="Arial" w:hAnsi="Arial" w:cs="Arial"/>
              </w:rPr>
              <w:t>UTSW</w:t>
            </w:r>
            <w:r w:rsidRPr="00C35631">
              <w:rPr>
                <w:rFonts w:ascii="Arial" w:hAnsi="Arial" w:cs="Arial"/>
              </w:rPr>
              <w:t xml:space="preserve"> </w:t>
            </w:r>
            <w:r w:rsidR="00D67674" w:rsidRPr="00C35631">
              <w:rPr>
                <w:rFonts w:ascii="Arial" w:hAnsi="Arial" w:cs="Arial"/>
              </w:rPr>
              <w:t xml:space="preserve">informa a las partes que </w:t>
            </w:r>
            <w:r w:rsidR="00934309" w:rsidRPr="00C35631">
              <w:rPr>
                <w:rFonts w:ascii="Arial" w:hAnsi="Arial" w:cs="Arial"/>
              </w:rPr>
              <w:t>se está desarrollando en</w:t>
            </w:r>
            <w:r w:rsidR="004C3013">
              <w:rPr>
                <w:rFonts w:ascii="Arial" w:hAnsi="Arial" w:cs="Arial"/>
              </w:rPr>
              <w:t xml:space="preserve"> </w:t>
            </w:r>
            <w:r w:rsidR="00D67674" w:rsidRPr="00C35631">
              <w:rPr>
                <w:rFonts w:ascii="Arial" w:hAnsi="Arial" w:cs="Arial"/>
              </w:rPr>
              <w:t>.net</w:t>
            </w:r>
            <w:r w:rsidR="00934309" w:rsidRPr="00C35631">
              <w:rPr>
                <w:rFonts w:ascii="Arial" w:hAnsi="Arial" w:cs="Arial"/>
              </w:rPr>
              <w:t xml:space="preserve"> </w:t>
            </w:r>
            <w:r w:rsidR="00D67674" w:rsidRPr="00C35631">
              <w:rPr>
                <w:rFonts w:ascii="Arial" w:hAnsi="Arial" w:cs="Arial"/>
              </w:rPr>
              <w:t xml:space="preserve">y </w:t>
            </w:r>
            <w:r w:rsidR="00934309" w:rsidRPr="00C35631">
              <w:rPr>
                <w:rFonts w:ascii="Arial" w:hAnsi="Arial" w:cs="Arial"/>
              </w:rPr>
              <w:t xml:space="preserve"> en </w:t>
            </w:r>
            <w:r w:rsidR="00D67674" w:rsidRPr="00C35631">
              <w:rPr>
                <w:rFonts w:ascii="Arial" w:hAnsi="Arial" w:cs="Arial"/>
              </w:rPr>
              <w:t>java</w:t>
            </w:r>
            <w:r w:rsidR="00934309" w:rsidRPr="00C35631">
              <w:rPr>
                <w:rFonts w:ascii="Arial" w:hAnsi="Arial" w:cs="Arial"/>
              </w:rPr>
              <w:t xml:space="preserve"> los servicios</w:t>
            </w:r>
            <w:r w:rsidR="00C35631" w:rsidRPr="00C35631">
              <w:rPr>
                <w:rFonts w:ascii="Arial" w:hAnsi="Arial" w:cs="Arial"/>
              </w:rPr>
              <w:t xml:space="preserve"> </w:t>
            </w:r>
            <w:proofErr w:type="spellStart"/>
            <w:r w:rsidR="00C35631" w:rsidRPr="00C35631">
              <w:rPr>
                <w:rFonts w:ascii="Arial" w:hAnsi="Arial" w:cs="Arial"/>
              </w:rPr>
              <w:t>Rest</w:t>
            </w:r>
            <w:proofErr w:type="spellEnd"/>
            <w:r w:rsidR="00D67674" w:rsidRPr="00C35631">
              <w:rPr>
                <w:rFonts w:ascii="Arial" w:hAnsi="Arial" w:cs="Arial"/>
              </w:rPr>
              <w:t>, la Interventoría informa a la UTSW que puede ser un problema el desarrollo en .net para la entidad por el mantenimiento</w:t>
            </w:r>
            <w:r w:rsidR="00D46CD6">
              <w:rPr>
                <w:rFonts w:ascii="Arial" w:hAnsi="Arial" w:cs="Arial"/>
              </w:rPr>
              <w:t xml:space="preserve"> que la aplicación requiera, ya que </w:t>
            </w:r>
            <w:r w:rsidR="008A0035">
              <w:rPr>
                <w:rFonts w:ascii="Arial" w:hAnsi="Arial" w:cs="Arial"/>
              </w:rPr>
              <w:t>puede ser que la entidad no cuente con los recursos para realizar los desarrollos en esta he</w:t>
            </w:r>
            <w:r w:rsidR="004F15CC">
              <w:rPr>
                <w:rFonts w:ascii="Arial" w:hAnsi="Arial" w:cs="Arial"/>
              </w:rPr>
              <w:t>rr</w:t>
            </w:r>
            <w:r w:rsidR="008A0035">
              <w:rPr>
                <w:rFonts w:ascii="Arial" w:hAnsi="Arial" w:cs="Arial"/>
              </w:rPr>
              <w:t>amienta</w:t>
            </w:r>
            <w:r w:rsidR="00C35631" w:rsidRPr="00C35631">
              <w:rPr>
                <w:rFonts w:ascii="Arial" w:hAnsi="Arial" w:cs="Arial"/>
              </w:rPr>
              <w:t>,</w:t>
            </w:r>
            <w:r w:rsidRPr="00C35631">
              <w:rPr>
                <w:rFonts w:ascii="Arial" w:hAnsi="Arial" w:cs="Arial"/>
              </w:rPr>
              <w:t xml:space="preserve"> La </w:t>
            </w:r>
            <w:r w:rsidR="00C87C6A" w:rsidRPr="00C35631">
              <w:rPr>
                <w:rFonts w:ascii="Arial" w:hAnsi="Arial" w:cs="Arial"/>
              </w:rPr>
              <w:t>Secretaría de Transparencia</w:t>
            </w:r>
            <w:r w:rsidR="00C87C6A">
              <w:rPr>
                <w:rFonts w:ascii="Arial" w:hAnsi="Arial" w:cs="Arial"/>
              </w:rPr>
              <w:t xml:space="preserve"> </w:t>
            </w:r>
            <w:r w:rsidR="0056316B" w:rsidRPr="00C35631">
              <w:rPr>
                <w:rFonts w:ascii="Arial" w:hAnsi="Arial" w:cs="Arial"/>
              </w:rPr>
              <w:t xml:space="preserve">informa a las partes que  </w:t>
            </w:r>
            <w:r w:rsidR="00C87C6A">
              <w:rPr>
                <w:rFonts w:ascii="Arial" w:hAnsi="Arial" w:cs="Arial"/>
              </w:rPr>
              <w:t xml:space="preserve">tanto ellos como </w:t>
            </w:r>
            <w:r w:rsidR="0056316B" w:rsidRPr="00C35631">
              <w:rPr>
                <w:rFonts w:ascii="Arial" w:hAnsi="Arial" w:cs="Arial"/>
              </w:rPr>
              <w:t xml:space="preserve">la Presidencia de la Republica </w:t>
            </w:r>
            <w:r w:rsidR="00D9565C">
              <w:rPr>
                <w:rFonts w:ascii="Arial" w:hAnsi="Arial" w:cs="Arial"/>
              </w:rPr>
              <w:t>tiene</w:t>
            </w:r>
            <w:r w:rsidR="00C87C6A">
              <w:rPr>
                <w:rFonts w:ascii="Arial" w:hAnsi="Arial" w:cs="Arial"/>
              </w:rPr>
              <w:t>n</w:t>
            </w:r>
            <w:r w:rsidR="004F15CC">
              <w:rPr>
                <w:rFonts w:ascii="Arial" w:hAnsi="Arial" w:cs="Arial"/>
              </w:rPr>
              <w:t xml:space="preserve"> </w:t>
            </w:r>
            <w:r w:rsidR="008A0035">
              <w:rPr>
                <w:rFonts w:ascii="Arial" w:hAnsi="Arial" w:cs="Arial"/>
              </w:rPr>
              <w:t xml:space="preserve">todos los desarrollos </w:t>
            </w:r>
            <w:r w:rsidR="004F15CC">
              <w:rPr>
                <w:rFonts w:ascii="Arial" w:hAnsi="Arial" w:cs="Arial"/>
              </w:rPr>
              <w:t xml:space="preserve">implementados </w:t>
            </w:r>
            <w:r w:rsidR="008A0035">
              <w:rPr>
                <w:rFonts w:ascii="Arial" w:hAnsi="Arial" w:cs="Arial"/>
              </w:rPr>
              <w:t>en .net.</w:t>
            </w:r>
            <w:r w:rsidR="004F15CC" w:rsidRPr="00C35631" w:rsidDel="004F15CC">
              <w:rPr>
                <w:rFonts w:ascii="Arial" w:hAnsi="Arial" w:cs="Arial"/>
              </w:rPr>
              <w:t xml:space="preserve"> </w:t>
            </w:r>
          </w:p>
          <w:p w:rsidR="00CE48D8" w:rsidRPr="00C35631" w:rsidRDefault="00CE48D8" w:rsidP="00C3563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 xml:space="preserve">GEL pregunta a la UTSW cuando se inicia con la publicación de entregables de la aplicación Elefantes Blancos Móvil y Web, la UTSW </w:t>
            </w:r>
            <w:r w:rsidR="00660401">
              <w:rPr>
                <w:rFonts w:ascii="Arial" w:hAnsi="Arial" w:cs="Arial"/>
              </w:rPr>
              <w:t xml:space="preserve">informa </w:t>
            </w:r>
            <w:r w:rsidRPr="00C35631">
              <w:rPr>
                <w:rFonts w:ascii="Arial" w:hAnsi="Arial" w:cs="Arial"/>
              </w:rPr>
              <w:t xml:space="preserve">que en la </w:t>
            </w:r>
            <w:r w:rsidR="00C35631" w:rsidRPr="00C35631">
              <w:rPr>
                <w:rFonts w:ascii="Arial" w:hAnsi="Arial" w:cs="Arial"/>
              </w:rPr>
              <w:t xml:space="preserve">fase Revisión Final de Calidad </w:t>
            </w:r>
            <w:r w:rsidRPr="00C35631">
              <w:rPr>
                <w:rFonts w:ascii="Arial" w:hAnsi="Arial" w:cs="Arial"/>
              </w:rPr>
              <w:t>se iniciar</w:t>
            </w:r>
            <w:r w:rsidR="00D46CD6">
              <w:rPr>
                <w:rFonts w:ascii="Arial" w:hAnsi="Arial" w:cs="Arial"/>
              </w:rPr>
              <w:t>á</w:t>
            </w:r>
            <w:r w:rsidRPr="00C35631">
              <w:rPr>
                <w:rFonts w:ascii="Arial" w:hAnsi="Arial" w:cs="Arial"/>
              </w:rPr>
              <w:t xml:space="preserve"> con la entrega de estos entregables</w:t>
            </w:r>
            <w:r w:rsidR="00660401">
              <w:rPr>
                <w:rFonts w:ascii="Arial" w:hAnsi="Arial" w:cs="Arial"/>
              </w:rPr>
              <w:t>, de igual manera informa que el cronograma de hitos se publicar</w:t>
            </w:r>
            <w:r w:rsidR="00D9565C">
              <w:rPr>
                <w:rFonts w:ascii="Arial" w:hAnsi="Arial" w:cs="Arial"/>
              </w:rPr>
              <w:t>á</w:t>
            </w:r>
            <w:r w:rsidR="00660401">
              <w:rPr>
                <w:rFonts w:ascii="Arial" w:hAnsi="Arial" w:cs="Arial"/>
              </w:rPr>
              <w:t xml:space="preserve"> uno por aplicación de la siguiente manera uno para Elefantes Blancos </w:t>
            </w:r>
            <w:r w:rsidR="00D9565C">
              <w:rPr>
                <w:rFonts w:ascii="Arial" w:hAnsi="Arial" w:cs="Arial"/>
              </w:rPr>
              <w:t>móvil</w:t>
            </w:r>
            <w:r w:rsidR="00660401">
              <w:rPr>
                <w:rFonts w:ascii="Arial" w:hAnsi="Arial" w:cs="Arial"/>
              </w:rPr>
              <w:t xml:space="preserve"> uno para Elefantes Blancos web y uno para PEC</w:t>
            </w:r>
            <w:r w:rsidRPr="00C35631">
              <w:rPr>
                <w:rFonts w:ascii="Arial" w:hAnsi="Arial" w:cs="Arial"/>
              </w:rPr>
              <w:t>.</w:t>
            </w:r>
          </w:p>
          <w:p w:rsidR="00DD11D8" w:rsidRPr="00C35631" w:rsidRDefault="00BC03AE" w:rsidP="009720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 xml:space="preserve">La </w:t>
            </w:r>
            <w:r w:rsidR="00CE48D8" w:rsidRPr="00C35631">
              <w:rPr>
                <w:rFonts w:ascii="Arial" w:hAnsi="Arial" w:cs="Arial"/>
              </w:rPr>
              <w:t>Interventoría</w:t>
            </w:r>
            <w:r w:rsidRPr="00C35631">
              <w:rPr>
                <w:rFonts w:ascii="Arial" w:hAnsi="Arial" w:cs="Arial"/>
              </w:rPr>
              <w:t xml:space="preserve"> in</w:t>
            </w:r>
            <w:r w:rsidR="00CE48D8" w:rsidRPr="00C35631">
              <w:rPr>
                <w:rFonts w:ascii="Arial" w:hAnsi="Arial" w:cs="Arial"/>
              </w:rPr>
              <w:t>forma a la UTSW que en los informes semanales presentados donde no se contaba con el recurso de Sénior WEB se debe dejar la observación que la fábrica no  tenía</w:t>
            </w:r>
            <w:r w:rsidR="00660401">
              <w:rPr>
                <w:rFonts w:ascii="Arial" w:hAnsi="Arial" w:cs="Arial"/>
              </w:rPr>
              <w:t xml:space="preserve"> este recurso</w:t>
            </w:r>
            <w:r w:rsidR="005B76EA">
              <w:rPr>
                <w:rFonts w:ascii="Arial" w:hAnsi="Arial" w:cs="Arial"/>
              </w:rPr>
              <w:t xml:space="preserve"> y no estaba ejecutando horas</w:t>
            </w:r>
            <w:r w:rsidR="00CE48D8" w:rsidRPr="00C35631">
              <w:rPr>
                <w:rFonts w:ascii="Arial" w:hAnsi="Arial" w:cs="Arial"/>
              </w:rPr>
              <w:t xml:space="preserve">, la UTSW </w:t>
            </w:r>
            <w:r w:rsidR="00C35631" w:rsidRPr="00C35631">
              <w:rPr>
                <w:rFonts w:ascii="Arial" w:hAnsi="Arial" w:cs="Arial"/>
              </w:rPr>
              <w:t xml:space="preserve">indica </w:t>
            </w:r>
            <w:r w:rsidR="00CE48D8" w:rsidRPr="00C35631">
              <w:rPr>
                <w:rFonts w:ascii="Arial" w:hAnsi="Arial" w:cs="Arial"/>
              </w:rPr>
              <w:t>que se incluirá esta observación en los informes</w:t>
            </w:r>
            <w:r w:rsidR="005B76EA">
              <w:rPr>
                <w:rFonts w:ascii="Arial" w:hAnsi="Arial" w:cs="Arial"/>
              </w:rPr>
              <w:t xml:space="preserve"> semanales 1 y 2 </w:t>
            </w:r>
            <w:r w:rsidR="00CE48D8" w:rsidRPr="00C35631">
              <w:rPr>
                <w:rFonts w:ascii="Arial" w:hAnsi="Arial" w:cs="Arial"/>
              </w:rPr>
              <w:t>.</w:t>
            </w:r>
            <w:r w:rsidRPr="00C35631">
              <w:rPr>
                <w:rFonts w:ascii="Arial" w:hAnsi="Arial" w:cs="Arial"/>
              </w:rPr>
              <w:t xml:space="preserve"> </w:t>
            </w:r>
          </w:p>
          <w:p w:rsidR="000F7387" w:rsidRPr="00C35631" w:rsidRDefault="000F7387" w:rsidP="009720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 xml:space="preserve">GEL indica a la UTSW </w:t>
            </w:r>
            <w:r w:rsidR="00C35631" w:rsidRPr="00C35631">
              <w:rPr>
                <w:rFonts w:ascii="Arial" w:hAnsi="Arial" w:cs="Arial"/>
              </w:rPr>
              <w:t xml:space="preserve">que se deben </w:t>
            </w:r>
            <w:r w:rsidRPr="00C35631">
              <w:rPr>
                <w:rFonts w:ascii="Arial" w:hAnsi="Arial" w:cs="Arial"/>
              </w:rPr>
              <w:t xml:space="preserve">agregar </w:t>
            </w:r>
            <w:r w:rsidR="00C35631" w:rsidRPr="00C35631">
              <w:rPr>
                <w:rFonts w:ascii="Arial" w:hAnsi="Arial" w:cs="Arial"/>
              </w:rPr>
              <w:t xml:space="preserve">las </w:t>
            </w:r>
            <w:r w:rsidRPr="00C35631">
              <w:rPr>
                <w:rFonts w:ascii="Arial" w:hAnsi="Arial" w:cs="Arial"/>
              </w:rPr>
              <w:t xml:space="preserve">lecciones </w:t>
            </w:r>
            <w:r w:rsidR="00653DD3">
              <w:rPr>
                <w:rFonts w:ascii="Arial" w:hAnsi="Arial" w:cs="Arial"/>
              </w:rPr>
              <w:t>a</w:t>
            </w:r>
            <w:r w:rsidRPr="00C35631">
              <w:rPr>
                <w:rFonts w:ascii="Arial" w:hAnsi="Arial" w:cs="Arial"/>
              </w:rPr>
              <w:t xml:space="preserve">prendidas al </w:t>
            </w:r>
            <w:r w:rsidR="00C35631" w:rsidRPr="00C35631">
              <w:rPr>
                <w:rFonts w:ascii="Arial" w:hAnsi="Arial" w:cs="Arial"/>
              </w:rPr>
              <w:t xml:space="preserve">proyecto Soluciones Móviles 4 registradas </w:t>
            </w:r>
            <w:r w:rsidRPr="00C35631">
              <w:rPr>
                <w:rFonts w:ascii="Arial" w:hAnsi="Arial" w:cs="Arial"/>
              </w:rPr>
              <w:t>en el proyecto Soluciones Móviles 3 tales como:</w:t>
            </w:r>
          </w:p>
          <w:p w:rsidR="000F7387" w:rsidRPr="00C35631" w:rsidRDefault="000F7387" w:rsidP="000F738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  <w:shd w:val="clear" w:color="auto" w:fill="FFFFFF"/>
              </w:rPr>
              <w:t>Al seleccionar GEL las aplicaciones a desarrollar en los proyectos, debe validar que las entidades mantengan sus aplicaciones actualizadas, y cuenten con una infraestructura tecnológica de acuerdo a los requerimientos de los nuevos proyectos a implementar.</w:t>
            </w:r>
          </w:p>
          <w:p w:rsidR="00DD11D8" w:rsidRPr="00C35631" w:rsidRDefault="000F7387" w:rsidP="000F738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  <w:shd w:val="clear" w:color="auto" w:fill="FFFFFF"/>
              </w:rPr>
              <w:t xml:space="preserve">Se debe informar a las </w:t>
            </w:r>
            <w:r w:rsidR="00C35631" w:rsidRPr="00C35631">
              <w:rPr>
                <w:rFonts w:ascii="Arial" w:hAnsi="Arial" w:cs="Arial"/>
                <w:shd w:val="clear" w:color="auto" w:fill="FFFFFF"/>
              </w:rPr>
              <w:t>Entidades que quieren participar</w:t>
            </w:r>
            <w:r w:rsidRPr="00C35631">
              <w:rPr>
                <w:rFonts w:ascii="Arial" w:hAnsi="Arial" w:cs="Arial"/>
                <w:shd w:val="clear" w:color="auto" w:fill="FFFFFF"/>
              </w:rPr>
              <w:t xml:space="preserve"> de los proyectos que deben contar con recursos que tengan la capacidad de realizar mantenimiento o mejoras a las nuevas aplicaciones. </w:t>
            </w:r>
          </w:p>
          <w:p w:rsidR="00FA69F1" w:rsidRPr="0056316B" w:rsidRDefault="00DD11D8" w:rsidP="001F21C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C35631">
              <w:rPr>
                <w:rFonts w:ascii="Arial" w:hAnsi="Arial" w:cs="Arial"/>
              </w:rPr>
              <w:t>La UTSW in</w:t>
            </w:r>
            <w:r w:rsidR="00CE48D8" w:rsidRPr="00C35631">
              <w:rPr>
                <w:rFonts w:ascii="Arial" w:hAnsi="Arial" w:cs="Arial"/>
              </w:rPr>
              <w:t>forma a la</w:t>
            </w:r>
            <w:r w:rsidR="001F21CA">
              <w:rPr>
                <w:rFonts w:ascii="Arial" w:hAnsi="Arial" w:cs="Arial"/>
              </w:rPr>
              <w:t>s</w:t>
            </w:r>
            <w:r w:rsidR="00CE48D8" w:rsidRPr="00C35631">
              <w:rPr>
                <w:rFonts w:ascii="Arial" w:hAnsi="Arial" w:cs="Arial"/>
              </w:rPr>
              <w:t xml:space="preserve"> </w:t>
            </w:r>
            <w:r w:rsidR="001F21CA">
              <w:rPr>
                <w:rFonts w:ascii="Arial" w:hAnsi="Arial" w:cs="Arial"/>
              </w:rPr>
              <w:t xml:space="preserve">partes </w:t>
            </w:r>
            <w:r w:rsidR="00CE48D8" w:rsidRPr="00C35631">
              <w:rPr>
                <w:rFonts w:ascii="Arial" w:hAnsi="Arial" w:cs="Arial"/>
              </w:rPr>
              <w:t xml:space="preserve"> </w:t>
            </w:r>
            <w:r w:rsidRPr="00C35631">
              <w:rPr>
                <w:rFonts w:ascii="Arial" w:hAnsi="Arial" w:cs="Arial"/>
              </w:rPr>
              <w:t xml:space="preserve">que no se van a hacer actas de reuniones </w:t>
            </w:r>
            <w:r w:rsidR="00311833" w:rsidRPr="00C35631">
              <w:rPr>
                <w:rFonts w:ascii="Arial" w:hAnsi="Arial" w:cs="Arial"/>
              </w:rPr>
              <w:t>que se lleven a cabo con la entidad Servinformació</w:t>
            </w:r>
            <w:r w:rsidRPr="00C35631">
              <w:rPr>
                <w:rFonts w:ascii="Arial" w:hAnsi="Arial" w:cs="Arial"/>
              </w:rPr>
              <w:t>n</w:t>
            </w:r>
            <w:bookmarkStart w:id="0" w:name="_GoBack"/>
            <w:bookmarkEnd w:id="0"/>
            <w:r w:rsidR="00311833" w:rsidRPr="00C35631">
              <w:rPr>
                <w:rFonts w:ascii="Arial" w:hAnsi="Arial" w:cs="Arial"/>
              </w:rPr>
              <w:t>,</w:t>
            </w:r>
            <w:r w:rsidRPr="00C35631">
              <w:rPr>
                <w:rFonts w:ascii="Arial" w:hAnsi="Arial" w:cs="Arial"/>
              </w:rPr>
              <w:t xml:space="preserve"> </w:t>
            </w:r>
            <w:r w:rsidR="00467BB0" w:rsidRPr="00C35631">
              <w:rPr>
                <w:rFonts w:ascii="Arial" w:hAnsi="Arial" w:cs="Arial"/>
              </w:rPr>
              <w:t xml:space="preserve"> </w:t>
            </w:r>
            <w:r w:rsidRPr="00C35631">
              <w:rPr>
                <w:rFonts w:ascii="Arial" w:hAnsi="Arial" w:cs="Arial"/>
              </w:rPr>
              <w:t xml:space="preserve">la interventoría indica que </w:t>
            </w:r>
            <w:r w:rsidR="001F21CA">
              <w:rPr>
                <w:rFonts w:ascii="Arial" w:hAnsi="Arial" w:cs="Arial"/>
              </w:rPr>
              <w:t>esta decisión debe ser notificada formalmente</w:t>
            </w:r>
            <w:r w:rsidR="00311833" w:rsidRPr="00C35631">
              <w:rPr>
                <w:rFonts w:ascii="Arial" w:hAnsi="Arial" w:cs="Arial"/>
              </w:rPr>
              <w:t xml:space="preserve"> ya que no se cree conveniente </w:t>
            </w:r>
            <w:r w:rsidR="00C35631" w:rsidRPr="00C35631">
              <w:rPr>
                <w:rFonts w:ascii="Arial" w:hAnsi="Arial" w:cs="Arial"/>
              </w:rPr>
              <w:t>que no se deje registro de las reuniones.</w:t>
            </w:r>
            <w:r w:rsidRPr="00C35631">
              <w:rPr>
                <w:rFonts w:ascii="Arial" w:hAnsi="Arial" w:cs="Arial"/>
              </w:rPr>
              <w:t xml:space="preserve"> 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COMPROMISOS ADQUIRIDOS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FECHA LÍMITE DE EJECUCIÓN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0F7387" w:rsidP="00600F84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UTSW programar </w:t>
            </w:r>
            <w:r w:rsidR="00FC1237">
              <w:rPr>
                <w:rFonts w:ascii="Arial" w:hAnsi="Arial" w:cs="Arial"/>
              </w:rPr>
              <w:t>Reunión</w:t>
            </w:r>
            <w:r>
              <w:rPr>
                <w:rFonts w:ascii="Arial" w:hAnsi="Arial" w:cs="Arial"/>
              </w:rPr>
              <w:t xml:space="preserve">  para revisión de Criterios de </w:t>
            </w:r>
            <w:r>
              <w:rPr>
                <w:rFonts w:ascii="Arial" w:hAnsi="Arial" w:cs="Arial"/>
              </w:rPr>
              <w:lastRenderedPageBreak/>
              <w:t xml:space="preserve">Aceptación </w:t>
            </w:r>
          </w:p>
        </w:tc>
        <w:tc>
          <w:tcPr>
            <w:tcW w:w="2993" w:type="dxa"/>
            <w:vAlign w:val="center"/>
          </w:tcPr>
          <w:p w:rsidR="00F44822" w:rsidRPr="00FC1237" w:rsidRDefault="00FC1237" w:rsidP="00F44822">
            <w:pPr>
              <w:jc w:val="center"/>
              <w:rPr>
                <w:rFonts w:ascii="Arial" w:hAnsi="Arial" w:cs="Arial"/>
                <w:color w:val="548DD4"/>
              </w:rPr>
            </w:pPr>
            <w:r w:rsidRPr="00FC1237">
              <w:rPr>
                <w:rFonts w:ascii="Arial" w:hAnsi="Arial" w:cs="Arial"/>
              </w:rPr>
              <w:lastRenderedPageBreak/>
              <w:t>UTSW</w:t>
            </w:r>
          </w:p>
        </w:tc>
        <w:tc>
          <w:tcPr>
            <w:tcW w:w="3479" w:type="dxa"/>
            <w:vAlign w:val="center"/>
          </w:tcPr>
          <w:p w:rsidR="00F44822" w:rsidRPr="00654573" w:rsidRDefault="00467BB0" w:rsidP="00390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2013-12-12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0F7387" w:rsidP="00600F84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Programar Reunión de Requerimientos no F</w:t>
            </w:r>
            <w:r w:rsidR="00467BB0">
              <w:rPr>
                <w:rFonts w:ascii="Arial" w:hAnsi="Arial" w:cs="Arial"/>
              </w:rPr>
              <w:t xml:space="preserve">uncionales </w:t>
            </w:r>
          </w:p>
        </w:tc>
        <w:tc>
          <w:tcPr>
            <w:tcW w:w="2993" w:type="dxa"/>
            <w:vAlign w:val="center"/>
          </w:tcPr>
          <w:p w:rsidR="00F44822" w:rsidRPr="00654573" w:rsidRDefault="00467BB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UTSW</w:t>
            </w:r>
          </w:p>
        </w:tc>
        <w:tc>
          <w:tcPr>
            <w:tcW w:w="3479" w:type="dxa"/>
            <w:vAlign w:val="center"/>
          </w:tcPr>
          <w:p w:rsidR="00F44822" w:rsidRPr="00654573" w:rsidRDefault="00467BB0" w:rsidP="007B2047">
            <w:pPr>
              <w:jc w:val="center"/>
              <w:rPr>
                <w:rFonts w:ascii="Arial" w:hAnsi="Arial" w:cs="Arial"/>
              </w:rPr>
            </w:pPr>
            <w:r w:rsidRPr="00467BB0">
              <w:rPr>
                <w:rFonts w:ascii="Arial" w:hAnsi="Arial" w:cs="Arial"/>
              </w:rPr>
              <w:t>2013-12-13</w:t>
            </w:r>
          </w:p>
        </w:tc>
      </w:tr>
      <w:tr w:rsidR="002D409C" w:rsidRPr="00654573" w:rsidTr="00D51277">
        <w:tc>
          <w:tcPr>
            <w:tcW w:w="3310" w:type="dxa"/>
            <w:vAlign w:val="center"/>
          </w:tcPr>
          <w:p w:rsidR="002D409C" w:rsidRPr="00654573" w:rsidRDefault="00467BB0" w:rsidP="00600F84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UTSW enviar un correo </w:t>
            </w:r>
            <w:r w:rsidR="00600F84">
              <w:rPr>
                <w:rFonts w:ascii="Arial" w:hAnsi="Arial" w:cs="Arial"/>
              </w:rPr>
              <w:t>con la información que se le está solicitando a la entidad S</w:t>
            </w:r>
            <w:r>
              <w:rPr>
                <w:rFonts w:ascii="Arial" w:hAnsi="Arial" w:cs="Arial"/>
              </w:rPr>
              <w:t xml:space="preserve">ecretaria de </w:t>
            </w:r>
            <w:r w:rsidR="00600F84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ransparencia y los textos que se definirán para la aplicación</w:t>
            </w:r>
          </w:p>
        </w:tc>
        <w:tc>
          <w:tcPr>
            <w:tcW w:w="2993" w:type="dxa"/>
            <w:vAlign w:val="center"/>
          </w:tcPr>
          <w:p w:rsidR="002D409C" w:rsidRPr="00654573" w:rsidRDefault="00467BB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UTSW</w:t>
            </w:r>
          </w:p>
        </w:tc>
        <w:tc>
          <w:tcPr>
            <w:tcW w:w="3479" w:type="dxa"/>
            <w:vAlign w:val="center"/>
          </w:tcPr>
          <w:p w:rsidR="002D409C" w:rsidRPr="00654573" w:rsidRDefault="00467BB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2013-12-12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0D4630" w:rsidRPr="005335AF" w:rsidRDefault="000D4630" w:rsidP="00317488">
            <w:pPr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9" w:type="dxa"/>
            <w:vAlign w:val="center"/>
          </w:tcPr>
          <w:p w:rsidR="00317488" w:rsidRPr="00654573" w:rsidRDefault="00317488" w:rsidP="000D46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600F84" w:rsidRPr="00654573" w:rsidTr="00031F20">
        <w:tc>
          <w:tcPr>
            <w:tcW w:w="1745" w:type="dxa"/>
            <w:vAlign w:val="center"/>
          </w:tcPr>
          <w:p w:rsidR="00600F84" w:rsidRPr="00654573" w:rsidRDefault="00600F84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600F84" w:rsidRPr="00A94AAB" w:rsidRDefault="00600F84" w:rsidP="00600F84">
            <w:pPr>
              <w:rPr>
                <w:rFonts w:ascii="Arial" w:hAnsi="Arial" w:cs="Arial"/>
                <w:color w:val="548DD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GLFS2-SM4-ACT-1546-20131210</w:t>
            </w:r>
            <w:r w:rsidRPr="00A94AAB">
              <w:rPr>
                <w:rFonts w:ascii="Arial" w:hAnsi="Arial" w:cs="Arial"/>
                <w:lang w:val="en-US"/>
              </w:rPr>
              <w:t>-ListadeAsistencia.pdf</w:t>
            </w:r>
          </w:p>
        </w:tc>
        <w:tc>
          <w:tcPr>
            <w:tcW w:w="5528" w:type="dxa"/>
            <w:vAlign w:val="center"/>
          </w:tcPr>
          <w:p w:rsidR="00600F84" w:rsidRPr="00654573" w:rsidRDefault="00600F84" w:rsidP="00253A8D">
            <w:pPr>
              <w:jc w:val="both"/>
              <w:rPr>
                <w:rFonts w:ascii="Arial" w:hAnsi="Arial" w:cs="Arial"/>
                <w:color w:val="548DD4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2013 0</w:t>
            </w:r>
            <w:r w:rsidR="00253A8D">
              <w:rPr>
                <w:rFonts w:ascii="Arial" w:hAnsi="Arial" w:cs="Arial"/>
              </w:rPr>
              <w:t>2</w:t>
            </w:r>
            <w:r w:rsidRPr="009D37B3">
              <w:rPr>
                <w:rFonts w:ascii="Arial" w:hAnsi="Arial" w:cs="Arial"/>
              </w:rPr>
              <w:t>.</w:t>
            </w:r>
            <w:r w:rsidR="00F91185">
              <w:rPr>
                <w:rFonts w:ascii="Arial" w:hAnsi="Arial" w:cs="Arial"/>
              </w:rPr>
              <w:t xml:space="preserve"> </w:t>
            </w:r>
            <w:r w:rsidR="00253A8D">
              <w:rPr>
                <w:rFonts w:ascii="Arial" w:hAnsi="Arial" w:cs="Arial"/>
              </w:rPr>
              <w:t>Diciembre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600F84" w:rsidRPr="00654573" w:rsidTr="00031F20">
        <w:tc>
          <w:tcPr>
            <w:tcW w:w="1745" w:type="dxa"/>
            <w:vAlign w:val="center"/>
          </w:tcPr>
          <w:p w:rsidR="00600F84" w:rsidRPr="00654573" w:rsidRDefault="00600F84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600F84" w:rsidRPr="00654573" w:rsidRDefault="00600F84" w:rsidP="00600F84">
            <w:pPr>
              <w:rPr>
                <w:rFonts w:ascii="Arial" w:hAnsi="Arial" w:cs="Arial"/>
                <w:color w:val="548DD4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GLFS2-SM4-ACT-1546</w:t>
            </w:r>
            <w:r w:rsidRPr="002415D2">
              <w:rPr>
                <w:rFonts w:ascii="Arial" w:hAnsi="Arial" w:cs="Arial"/>
              </w:rPr>
              <w:t>-20131</w:t>
            </w:r>
            <w:r>
              <w:rPr>
                <w:rFonts w:ascii="Arial" w:hAnsi="Arial" w:cs="Arial"/>
              </w:rPr>
              <w:t>210</w:t>
            </w:r>
            <w:r w:rsidRPr="002415D2">
              <w:rPr>
                <w:rFonts w:ascii="Arial" w:hAnsi="Arial" w:cs="Arial"/>
              </w:rPr>
              <w:t>-ReunionComiteSeguimiento-Audio</w:t>
            </w:r>
            <w:bookmarkEnd w:id="1"/>
            <w:bookmarkEnd w:id="2"/>
            <w:r w:rsidRPr="002415D2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600F84" w:rsidRPr="00125D72" w:rsidRDefault="00600F84" w:rsidP="00253A8D">
            <w:pPr>
              <w:spacing w:after="200" w:line="276" w:lineRule="auto"/>
              <w:jc w:val="both"/>
              <w:rPr>
                <w:rStyle w:val="EstiloArial"/>
                <w:rFonts w:cs="Arial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01 Audios / 2013 0</w:t>
            </w:r>
            <w:r w:rsidR="00253A8D">
              <w:rPr>
                <w:rFonts w:ascii="Arial" w:hAnsi="Arial" w:cs="Arial"/>
              </w:rPr>
              <w:t>2</w:t>
            </w:r>
            <w:r w:rsidRPr="009D37B3">
              <w:rPr>
                <w:rFonts w:ascii="Arial" w:hAnsi="Arial" w:cs="Arial"/>
              </w:rPr>
              <w:t>.</w:t>
            </w:r>
            <w:r w:rsidR="00F91185">
              <w:rPr>
                <w:rFonts w:ascii="Arial" w:hAnsi="Arial" w:cs="Arial"/>
              </w:rPr>
              <w:t xml:space="preserve"> </w:t>
            </w:r>
            <w:r w:rsidR="00253A8D">
              <w:rPr>
                <w:rFonts w:ascii="Arial" w:hAnsi="Arial" w:cs="Arial"/>
              </w:rPr>
              <w:t>Diciembre</w:t>
            </w:r>
          </w:p>
        </w:tc>
      </w:tr>
      <w:tr w:rsidR="00600F84" w:rsidRPr="00654573" w:rsidTr="00031F20">
        <w:tc>
          <w:tcPr>
            <w:tcW w:w="1745" w:type="dxa"/>
            <w:vAlign w:val="center"/>
          </w:tcPr>
          <w:p w:rsidR="00600F84" w:rsidRPr="00654573" w:rsidRDefault="00600F84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600F84" w:rsidRPr="00654573" w:rsidRDefault="00600F84" w:rsidP="00600F84">
            <w:pPr>
              <w:rPr>
                <w:rFonts w:ascii="Arial" w:hAnsi="Arial" w:cs="Arial"/>
                <w:color w:val="548DD4"/>
              </w:rPr>
            </w:pPr>
            <w:r w:rsidRPr="00600F84">
              <w:rPr>
                <w:rFonts w:ascii="Arial" w:hAnsi="Arial" w:cs="Arial"/>
              </w:rPr>
              <w:t>GLFS2-SM4-INF-20131206-InformeSemanalDeSeguimiento-N3</w:t>
            </w:r>
          </w:p>
        </w:tc>
        <w:tc>
          <w:tcPr>
            <w:tcW w:w="5528" w:type="dxa"/>
            <w:vAlign w:val="center"/>
          </w:tcPr>
          <w:p w:rsidR="00600F84" w:rsidRPr="00654573" w:rsidRDefault="00600F84" w:rsidP="00600F84">
            <w:pPr>
              <w:jc w:val="both"/>
              <w:rPr>
                <w:rStyle w:val="EstiloArial"/>
                <w:rFonts w:cs="Arial"/>
                <w:color w:val="548DD4"/>
              </w:rPr>
            </w:pPr>
            <w:r>
              <w:rPr>
                <w:rFonts w:ascii="Arial" w:hAnsi="Arial" w:cs="Arial"/>
              </w:rPr>
              <w:t>Repositorio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</w:t>
            </w:r>
            <w:r>
              <w:rPr>
                <w:rFonts w:ascii="Arial" w:hAnsi="Arial" w:cs="Arial"/>
              </w:rPr>
              <w:t>4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Informes</w:t>
            </w:r>
            <w:r w:rsidRPr="009D37B3">
              <w:rPr>
                <w:rFonts w:ascii="Arial" w:hAnsi="Arial" w:cs="Arial"/>
              </w:rPr>
              <w:t xml:space="preserve"> / 02. </w:t>
            </w:r>
            <w:r>
              <w:rPr>
                <w:rFonts w:ascii="Arial" w:hAnsi="Arial" w:cs="Arial"/>
              </w:rPr>
              <w:t>Informes Semanales / 2013 02.</w:t>
            </w:r>
            <w:r w:rsidR="00F911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Diciembre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B8F" w:rsidRDefault="009E0B8F" w:rsidP="00FA69F1">
      <w:pPr>
        <w:spacing w:after="0" w:line="240" w:lineRule="auto"/>
      </w:pPr>
      <w:r>
        <w:separator/>
      </w:r>
    </w:p>
  </w:endnote>
  <w:endnote w:type="continuationSeparator" w:id="0">
    <w:p w:rsidR="009E0B8F" w:rsidRDefault="009E0B8F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7A742B" w:rsidTr="009425AD">
      <w:tc>
        <w:tcPr>
          <w:tcW w:w="2992" w:type="dxa"/>
        </w:tcPr>
        <w:p w:rsidR="007A742B" w:rsidRDefault="009425AD">
          <w:pPr>
            <w:pStyle w:val="Piedepgina"/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9425AD" w:rsidRPr="009425AD" w:rsidRDefault="009425AD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9425AD" w:rsidRPr="009425AD" w:rsidRDefault="009425AD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7A742B" w:rsidRPr="007A742B" w:rsidRDefault="007A742B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125D72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125D72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7A742B" w:rsidRDefault="009425AD">
          <w:pPr>
            <w:pStyle w:val="Piedepgina"/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BA7F2A" w:rsidRDefault="009425AD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9425AD" w:rsidRDefault="009425AD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9425AD" w:rsidRPr="00BA7F2A" w:rsidRDefault="009425AD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9425AD" w:rsidRDefault="009425AD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A742B" w:rsidRDefault="007A74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B8F" w:rsidRDefault="009E0B8F" w:rsidP="00FA69F1">
      <w:pPr>
        <w:spacing w:after="0" w:line="240" w:lineRule="auto"/>
      </w:pPr>
      <w:r>
        <w:separator/>
      </w:r>
    </w:p>
  </w:footnote>
  <w:footnote w:type="continuationSeparator" w:id="0">
    <w:p w:rsidR="009E0B8F" w:rsidRDefault="009E0B8F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FA69F1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eastAsia="es-CO"/>
            </w:rPr>
            <w:drawing>
              <wp:inline distT="0" distB="0" distL="0" distR="0" wp14:anchorId="59F99226" wp14:editId="56689FAF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FF425E" w:rsidRDefault="00FA69F1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210F00" w:rsidRPr="00E431BB" w:rsidRDefault="009B3E69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1546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eastAsia="es-CO"/>
            </w:rPr>
            <w:drawing>
              <wp:inline distT="0" distB="0" distL="0" distR="0" wp14:anchorId="2AC0B039" wp14:editId="3D354A0E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69F1" w:rsidRPr="00FA69F1" w:rsidRDefault="00FA69F1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064C"/>
    <w:multiLevelType w:val="hybridMultilevel"/>
    <w:tmpl w:val="7E5894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CD656C"/>
    <w:multiLevelType w:val="hybridMultilevel"/>
    <w:tmpl w:val="418E72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E250F2"/>
    <w:multiLevelType w:val="hybridMultilevel"/>
    <w:tmpl w:val="1C58B33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6648A1"/>
    <w:multiLevelType w:val="hybridMultilevel"/>
    <w:tmpl w:val="E306F0CC"/>
    <w:lvl w:ilvl="0" w:tplc="F8C8C39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524CF"/>
    <w:multiLevelType w:val="hybridMultilevel"/>
    <w:tmpl w:val="B1127CC8"/>
    <w:lvl w:ilvl="0" w:tplc="F8C8C39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DC7294"/>
    <w:multiLevelType w:val="hybridMultilevel"/>
    <w:tmpl w:val="C6BCD53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8498E"/>
    <w:multiLevelType w:val="hybridMultilevel"/>
    <w:tmpl w:val="0360C2C4"/>
    <w:lvl w:ilvl="0" w:tplc="F8C8C39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15"/>
  </w:num>
  <w:num w:numId="10">
    <w:abstractNumId w:val="9"/>
  </w:num>
  <w:num w:numId="11">
    <w:abstractNumId w:val="10"/>
  </w:num>
  <w:num w:numId="12">
    <w:abstractNumId w:val="14"/>
  </w:num>
  <w:num w:numId="13">
    <w:abstractNumId w:val="8"/>
  </w:num>
  <w:num w:numId="14">
    <w:abstractNumId w:val="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24442"/>
    <w:rsid w:val="00031F20"/>
    <w:rsid w:val="0007086F"/>
    <w:rsid w:val="00080905"/>
    <w:rsid w:val="00084B9E"/>
    <w:rsid w:val="000C72DA"/>
    <w:rsid w:val="000D4630"/>
    <w:rsid w:val="000E0199"/>
    <w:rsid w:val="000E04A7"/>
    <w:rsid w:val="000E5A64"/>
    <w:rsid w:val="000F7387"/>
    <w:rsid w:val="001076C9"/>
    <w:rsid w:val="00125D72"/>
    <w:rsid w:val="00156C61"/>
    <w:rsid w:val="001A0A69"/>
    <w:rsid w:val="001A4105"/>
    <w:rsid w:val="001B47EC"/>
    <w:rsid w:val="001F21CA"/>
    <w:rsid w:val="001F4209"/>
    <w:rsid w:val="00203C95"/>
    <w:rsid w:val="00205193"/>
    <w:rsid w:val="00205D56"/>
    <w:rsid w:val="00210F00"/>
    <w:rsid w:val="00212679"/>
    <w:rsid w:val="002216CF"/>
    <w:rsid w:val="00223DF2"/>
    <w:rsid w:val="00235309"/>
    <w:rsid w:val="00253A8D"/>
    <w:rsid w:val="00297A57"/>
    <w:rsid w:val="002A4F35"/>
    <w:rsid w:val="002C0170"/>
    <w:rsid w:val="002D3379"/>
    <w:rsid w:val="002D409C"/>
    <w:rsid w:val="00311833"/>
    <w:rsid w:val="00312B47"/>
    <w:rsid w:val="00314376"/>
    <w:rsid w:val="00317488"/>
    <w:rsid w:val="00387CA8"/>
    <w:rsid w:val="0039039E"/>
    <w:rsid w:val="003967B0"/>
    <w:rsid w:val="003B5D2A"/>
    <w:rsid w:val="003C5621"/>
    <w:rsid w:val="003F2C43"/>
    <w:rsid w:val="003F6183"/>
    <w:rsid w:val="004468C2"/>
    <w:rsid w:val="004519E4"/>
    <w:rsid w:val="00467BB0"/>
    <w:rsid w:val="004C0738"/>
    <w:rsid w:val="004C3013"/>
    <w:rsid w:val="004F15CC"/>
    <w:rsid w:val="00500CBC"/>
    <w:rsid w:val="005056E0"/>
    <w:rsid w:val="0050616E"/>
    <w:rsid w:val="005335AF"/>
    <w:rsid w:val="0056316B"/>
    <w:rsid w:val="005753C0"/>
    <w:rsid w:val="005A4335"/>
    <w:rsid w:val="005A7292"/>
    <w:rsid w:val="005B76EA"/>
    <w:rsid w:val="005C14BC"/>
    <w:rsid w:val="005D0D7D"/>
    <w:rsid w:val="00600F84"/>
    <w:rsid w:val="00607A85"/>
    <w:rsid w:val="00636A2A"/>
    <w:rsid w:val="00643C30"/>
    <w:rsid w:val="00653DD3"/>
    <w:rsid w:val="00654573"/>
    <w:rsid w:val="00660401"/>
    <w:rsid w:val="006846EE"/>
    <w:rsid w:val="0068484C"/>
    <w:rsid w:val="006A4759"/>
    <w:rsid w:val="006D3583"/>
    <w:rsid w:val="006E4A0C"/>
    <w:rsid w:val="006E4AD1"/>
    <w:rsid w:val="006F58B5"/>
    <w:rsid w:val="00725FAD"/>
    <w:rsid w:val="0075280C"/>
    <w:rsid w:val="00752FF1"/>
    <w:rsid w:val="0077201B"/>
    <w:rsid w:val="00797C52"/>
    <w:rsid w:val="007A742B"/>
    <w:rsid w:val="007B2047"/>
    <w:rsid w:val="007B5941"/>
    <w:rsid w:val="00801D02"/>
    <w:rsid w:val="008049DB"/>
    <w:rsid w:val="008129CB"/>
    <w:rsid w:val="00822FC2"/>
    <w:rsid w:val="00830199"/>
    <w:rsid w:val="00835CC3"/>
    <w:rsid w:val="008A0035"/>
    <w:rsid w:val="008B7529"/>
    <w:rsid w:val="008D0BBD"/>
    <w:rsid w:val="008F5594"/>
    <w:rsid w:val="00926EB8"/>
    <w:rsid w:val="00934309"/>
    <w:rsid w:val="00937F90"/>
    <w:rsid w:val="009425AD"/>
    <w:rsid w:val="00947FEC"/>
    <w:rsid w:val="00954E45"/>
    <w:rsid w:val="00963C69"/>
    <w:rsid w:val="009720BA"/>
    <w:rsid w:val="00991493"/>
    <w:rsid w:val="009B3E69"/>
    <w:rsid w:val="009E0B8F"/>
    <w:rsid w:val="00A0131A"/>
    <w:rsid w:val="00A13978"/>
    <w:rsid w:val="00A242E1"/>
    <w:rsid w:val="00A4461D"/>
    <w:rsid w:val="00A5300A"/>
    <w:rsid w:val="00A67070"/>
    <w:rsid w:val="00A80B4C"/>
    <w:rsid w:val="00A910B3"/>
    <w:rsid w:val="00AD4679"/>
    <w:rsid w:val="00AD73C2"/>
    <w:rsid w:val="00AE089B"/>
    <w:rsid w:val="00AE5DAF"/>
    <w:rsid w:val="00AF55F7"/>
    <w:rsid w:val="00B04ACB"/>
    <w:rsid w:val="00B25E5F"/>
    <w:rsid w:val="00B44EC3"/>
    <w:rsid w:val="00B6569A"/>
    <w:rsid w:val="00B66133"/>
    <w:rsid w:val="00B850F1"/>
    <w:rsid w:val="00B94A77"/>
    <w:rsid w:val="00BC03AE"/>
    <w:rsid w:val="00BC5BD9"/>
    <w:rsid w:val="00BF5700"/>
    <w:rsid w:val="00C01089"/>
    <w:rsid w:val="00C35631"/>
    <w:rsid w:val="00C50911"/>
    <w:rsid w:val="00C50E62"/>
    <w:rsid w:val="00C52764"/>
    <w:rsid w:val="00C57EAC"/>
    <w:rsid w:val="00C67F70"/>
    <w:rsid w:val="00C83A6B"/>
    <w:rsid w:val="00C87C6A"/>
    <w:rsid w:val="00CD1B1C"/>
    <w:rsid w:val="00CE48D8"/>
    <w:rsid w:val="00D25384"/>
    <w:rsid w:val="00D35CF0"/>
    <w:rsid w:val="00D45D73"/>
    <w:rsid w:val="00D46CD6"/>
    <w:rsid w:val="00D51277"/>
    <w:rsid w:val="00D67674"/>
    <w:rsid w:val="00D75A6A"/>
    <w:rsid w:val="00D9152C"/>
    <w:rsid w:val="00D9565C"/>
    <w:rsid w:val="00D9757B"/>
    <w:rsid w:val="00DA77BA"/>
    <w:rsid w:val="00DD11D8"/>
    <w:rsid w:val="00DE0239"/>
    <w:rsid w:val="00DF0E7A"/>
    <w:rsid w:val="00E177E6"/>
    <w:rsid w:val="00EA691D"/>
    <w:rsid w:val="00EB5312"/>
    <w:rsid w:val="00EB78E7"/>
    <w:rsid w:val="00EE2F6A"/>
    <w:rsid w:val="00F11A9E"/>
    <w:rsid w:val="00F31C6C"/>
    <w:rsid w:val="00F44822"/>
    <w:rsid w:val="00F77444"/>
    <w:rsid w:val="00F804D1"/>
    <w:rsid w:val="00F91185"/>
    <w:rsid w:val="00FA69F1"/>
    <w:rsid w:val="00FC1237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E4A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E4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2014-01-14T22:27:00Z</dcterms:created>
  <dcterms:modified xsi:type="dcterms:W3CDTF">2014-01-14T22:27:00Z</dcterms:modified>
</cp:coreProperties>
</file>