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A6E7C" w14:textId="77777777" w:rsidR="00EE4E57" w:rsidRDefault="00000000">
      <w:pPr>
        <w:pStyle w:val="Balk1"/>
      </w:pPr>
      <w:bookmarkStart w:id="0" w:name="header"/>
      <w:bookmarkStart w:id="1" w:name="X47ff32b2948ecf0221432b5c468171e97044b07"/>
      <w:bookmarkStart w:id="2" w:name="content"/>
      <w:bookmarkEnd w:id="0"/>
      <w:r>
        <w:t>Self Meta AI Rapor Motoru İçin Yeni RAG Bilgi Tabanı Tasarımı</w:t>
      </w:r>
    </w:p>
    <w:p w14:paraId="66BD7A63" w14:textId="77777777" w:rsidR="00EE4E57" w:rsidRDefault="00000000">
      <w:pPr>
        <w:pStyle w:val="Balk2"/>
      </w:pPr>
      <w:bookmarkStart w:id="3" w:name="eski-rag-dosyasının-analizi"/>
      <w:r>
        <w:t>Eski RAG dosyasının analizi</w:t>
      </w:r>
    </w:p>
    <w:p w14:paraId="0E0D2506" w14:textId="350E065A" w:rsidR="00EE4E57" w:rsidRDefault="00000000">
      <w:pPr>
        <w:pStyle w:val="FirstParagraph"/>
      </w:pPr>
      <w:r>
        <w:t xml:space="preserve">Eski RAG dokümanı, “çok boyutlu gelişim alanları” mantığıyla yazılmış, ölçek başına </w:t>
      </w:r>
      <w:r>
        <w:rPr>
          <w:b/>
          <w:bCs/>
        </w:rPr>
        <w:t>tanım → klinik önem → yaş temelli gelişim → davranışsal yansımalar → ölçekler arası ilişkiler</w:t>
      </w:r>
      <w:r>
        <w:t xml:space="preserve"> çizgisini izleyen, klinik yorum üretmeye uygun bir “bilgi omurgası” veriyor. Bu yapı, bir rapor motorunun LLM katmanına “ham metin” değil, </w:t>
      </w:r>
      <w:r>
        <w:rPr>
          <w:b/>
          <w:bCs/>
        </w:rPr>
        <w:t>klinik anlamlandırma iskeleti</w:t>
      </w:r>
      <w:r>
        <w:t xml:space="preserve"> sağlaması açısından güçlü bir yaklaşım. </w:t>
      </w:r>
    </w:p>
    <w:p w14:paraId="295210BA" w14:textId="76167492" w:rsidR="00EE4E57" w:rsidRDefault="00000000">
      <w:pPr>
        <w:pStyle w:val="GvdeMetni"/>
      </w:pPr>
      <w:r>
        <w:t xml:space="preserve">Buna karşılık, dosyanın bugünkü Self Meta sistemine doğrudan uygun olmamasının nedeni sadece “ölçek sayısının 8’den 6’ya düşmesi” değil; eski dokümanda ölçeklerin </w:t>
      </w:r>
      <w:r>
        <w:rPr>
          <w:b/>
          <w:bCs/>
        </w:rPr>
        <w:t>madde sayıları ve puan aralıkları</w:t>
      </w:r>
      <w:r>
        <w:t xml:space="preserve"> da farklı (ör. bazı ölçeklerde 38–190 gibi geniş aralıklar ve ayrı cut-off tablosu var). Bu, yeni sistemdeki </w:t>
      </w:r>
      <w:r>
        <w:rPr>
          <w:b/>
          <w:bCs/>
        </w:rPr>
        <w:t>10 madde × 1–5 Likert = 10–50</w:t>
      </w:r>
      <w:r>
        <w:t xml:space="preserve"> bandına geçildiğinde, eski cut-off ve oranların </w:t>
      </w:r>
      <w:r>
        <w:rPr>
          <w:i/>
          <w:iCs/>
        </w:rPr>
        <w:t>aktarılamayacağı</w:t>
      </w:r>
      <w:r>
        <w:t xml:space="preserve"> anlamına gelir. </w:t>
      </w:r>
    </w:p>
    <w:p w14:paraId="4C58763A" w14:textId="77777777" w:rsidR="00EE4E57" w:rsidRDefault="00000000">
      <w:pPr>
        <w:pStyle w:val="GvdeMetni"/>
      </w:pPr>
      <w:r>
        <w:t>Eski RAG’ın bariz güçlü yanları:</w:t>
      </w:r>
    </w:p>
    <w:p w14:paraId="78BC73EC" w14:textId="568308FD" w:rsidR="00EE4E57" w:rsidRDefault="00000000">
      <w:pPr>
        <w:pStyle w:val="Compact"/>
        <w:numPr>
          <w:ilvl w:val="0"/>
          <w:numId w:val="2"/>
        </w:numPr>
      </w:pPr>
      <w:r>
        <w:rPr>
          <w:b/>
          <w:bCs/>
        </w:rPr>
        <w:t>Klinik yorum için uygun “şablon”</w:t>
      </w:r>
      <w:r>
        <w:t xml:space="preserve">: Ölçeklerin tanımı, işlevsel sonuçları ve gözlenebilir örüntüler birlikte sunuluyor; bu format, AI raporunun “genel yorum” ve “anamnez entegrasyonu” başlıklarına doğal şekilde akıyor. </w:t>
      </w:r>
    </w:p>
    <w:p w14:paraId="70B8114E" w14:textId="7BFCA6CD" w:rsidR="00EE4E57" w:rsidRDefault="00000000">
      <w:pPr>
        <w:pStyle w:val="Compact"/>
        <w:numPr>
          <w:ilvl w:val="0"/>
          <w:numId w:val="2"/>
        </w:numPr>
      </w:pPr>
      <w:r>
        <w:rPr>
          <w:b/>
          <w:bCs/>
        </w:rPr>
        <w:t>Ölçekler arası bağ kurma niyeti</w:t>
      </w:r>
      <w:r>
        <w:t xml:space="preserve">: İnterosepsiyon–duygu düzenleme, duyusal–fizyolojik vb. ilişkilere yer veriliyor; raporun “çoklu ölçek analizi” bölümü için faydalı bir tasarım yönelimi. </w:t>
      </w:r>
    </w:p>
    <w:p w14:paraId="607CBED1" w14:textId="2697FEF6" w:rsidR="00EE4E57" w:rsidRDefault="00000000">
      <w:pPr>
        <w:pStyle w:val="Compact"/>
        <w:numPr>
          <w:ilvl w:val="0"/>
          <w:numId w:val="2"/>
        </w:numPr>
      </w:pPr>
      <w:r>
        <w:rPr>
          <w:b/>
          <w:bCs/>
        </w:rPr>
        <w:t>Yaş (2–5) odağı</w:t>
      </w:r>
      <w:r>
        <w:t xml:space="preserve">: Okul öncesi gelişim içindeki tipik seyir vurgulanıyor; erken çocuklukta regülasyonun bağlama duyarlı olduğunu hatırlatması değerli. </w:t>
      </w:r>
    </w:p>
    <w:p w14:paraId="2CB13DE8" w14:textId="77777777" w:rsidR="00EE4E57" w:rsidRDefault="00000000">
      <w:pPr>
        <w:pStyle w:val="FirstParagraph"/>
      </w:pPr>
      <w:r>
        <w:t>Eski RAG’ın yeni sistem için sorunlu / gereksiz yanları:</w:t>
      </w:r>
    </w:p>
    <w:p w14:paraId="26A0A8ED" w14:textId="301CD9D7" w:rsidR="00EE4E57" w:rsidRDefault="00000000">
      <w:pPr>
        <w:pStyle w:val="Compact"/>
        <w:numPr>
          <w:ilvl w:val="0"/>
          <w:numId w:val="3"/>
        </w:numPr>
      </w:pPr>
      <w:r>
        <w:rPr>
          <w:b/>
          <w:bCs/>
        </w:rPr>
        <w:t>Sistemde artık olmayan ölçekler</w:t>
      </w:r>
      <w:r>
        <w:t xml:space="preserve">: Algı–Praksi ve Adaptif Davranış bölümleri yeni 6 ölçekli Self Meta rapor motoru için “retrieval gürültüsü” üretir; LLM yanlışlıkla bu alanları rapora taşıyabilir. </w:t>
      </w:r>
    </w:p>
    <w:p w14:paraId="7C7D560C" w14:textId="5DDDE8F7" w:rsidR="00EE4E57" w:rsidRDefault="00000000">
      <w:pPr>
        <w:pStyle w:val="Compact"/>
        <w:numPr>
          <w:ilvl w:val="0"/>
          <w:numId w:val="3"/>
        </w:numPr>
      </w:pPr>
      <w:r>
        <w:rPr>
          <w:b/>
          <w:bCs/>
        </w:rPr>
        <w:t>Cut-off’lar ve yüzdeler</w:t>
      </w:r>
      <w:r>
        <w:t xml:space="preserve">: Eski dokümanın cut-off tablosu ve ölçek bazlı “%25–30 riskli” gibi oranları, yeni maddelendirme ve kısaltılmış sürümde </w:t>
      </w:r>
      <w:r>
        <w:rPr>
          <w:b/>
          <w:bCs/>
        </w:rPr>
        <w:t>kanıta dayalı eşik</w:t>
      </w:r>
      <w:r>
        <w:t xml:space="preserve"> gibi kullanılamaz; raporda “yanlış kesinlik” üretme riski taşır. </w:t>
      </w:r>
    </w:p>
    <w:p w14:paraId="6F5B1546" w14:textId="253F4019" w:rsidR="00EE4E57" w:rsidRDefault="00000000">
      <w:pPr>
        <w:pStyle w:val="Compact"/>
        <w:numPr>
          <w:ilvl w:val="0"/>
          <w:numId w:val="3"/>
        </w:numPr>
      </w:pPr>
      <w:r>
        <w:rPr>
          <w:b/>
          <w:bCs/>
        </w:rPr>
        <w:t>İleri ML/SHAP/latent eksen anlatısı</w:t>
      </w:r>
      <w:r>
        <w:t xml:space="preserve">: Bu kısım, RAG bilgi tabanı için “kullanıcıya klinik açıklama” sağlamaktan çok, eski bir modelleme hattının içeriğini taşıyor; yeni sistemde bu ML hattı yoksa, raporun gerekçelendirme dili “model çıktılarını varmış gibi” yansıtabilir. </w:t>
      </w:r>
    </w:p>
    <w:p w14:paraId="144C157E" w14:textId="068AB5EF" w:rsidR="00EE4E57" w:rsidRDefault="00000000">
      <w:pPr>
        <w:pStyle w:val="Compact"/>
        <w:numPr>
          <w:ilvl w:val="0"/>
          <w:numId w:val="3"/>
        </w:numPr>
      </w:pPr>
      <w:r>
        <w:rPr>
          <w:b/>
          <w:bCs/>
        </w:rPr>
        <w:t>Tanısal terminolojiye yakın pasajlar</w:t>
      </w:r>
      <w:r>
        <w:t xml:space="preserve">: Erken çocukluk sınıflamaları ve “bozukluk” etiketleri, sizin açık kısıtınız olan “tanı koyma yok” ilkesine karşı rapor drift’i yaratabilir (LLM, klinik bağlamı aşarak tanısal dil üretmeye eğilimlidir). </w:t>
      </w:r>
    </w:p>
    <w:p w14:paraId="45E14E60" w14:textId="77777777" w:rsidR="00EE4E57" w:rsidRDefault="00000000">
      <w:pPr>
        <w:pStyle w:val="FirstParagraph"/>
      </w:pPr>
      <w:r>
        <w:lastRenderedPageBreak/>
        <w:t>Eski RAG’dan yeni sisteme uyarlanabilir çekirdek:</w:t>
      </w:r>
    </w:p>
    <w:p w14:paraId="6F889D47" w14:textId="127243CE" w:rsidR="00EE4E57" w:rsidRDefault="00000000">
      <w:pPr>
        <w:pStyle w:val="Compact"/>
        <w:numPr>
          <w:ilvl w:val="0"/>
          <w:numId w:val="4"/>
        </w:numPr>
      </w:pPr>
      <w:r>
        <w:t xml:space="preserve">Her ölçek için </w:t>
      </w:r>
      <w:r>
        <w:rPr>
          <w:b/>
          <w:bCs/>
        </w:rPr>
        <w:t>klinik anlam + gözlenebilir örüntüler + yaş bağlamı</w:t>
      </w:r>
      <w:r>
        <w:t xml:space="preserve"> üçlüsü korunmalı (format doğru). </w:t>
      </w:r>
    </w:p>
    <w:p w14:paraId="670695EA" w14:textId="449FEF3B" w:rsidR="00EE4E57" w:rsidRDefault="00000000">
      <w:pPr>
        <w:pStyle w:val="Compact"/>
        <w:numPr>
          <w:ilvl w:val="0"/>
          <w:numId w:val="4"/>
        </w:numPr>
      </w:pPr>
      <w:r>
        <w:t xml:space="preserve">Ölçekler arası ilişkiler </w:t>
      </w:r>
      <w:r>
        <w:rPr>
          <w:b/>
          <w:bCs/>
        </w:rPr>
        <w:t>nitel</w:t>
      </w:r>
      <w:r>
        <w:t xml:space="preserve"> hale getirilmeli: Eski dokümandaki korelasyon katsayıları ve model metrikleri, yeni sistemde doğrulanmadığı sürece “sayısal” değil “olasılıksal/ilişkisel” cümle şablonlarına dönüştürülmeli. (Bu, klinik literatürde de iyi bir pratik: mekanizma ve ilişkiyi anlat, sayı üretme.) </w:t>
      </w:r>
    </w:p>
    <w:p w14:paraId="02B22C38" w14:textId="77777777" w:rsidR="00EE4E57" w:rsidRDefault="00000000">
      <w:pPr>
        <w:pStyle w:val="Compact"/>
        <w:numPr>
          <w:ilvl w:val="0"/>
          <w:numId w:val="4"/>
        </w:numPr>
      </w:pPr>
      <w:r>
        <w:t xml:space="preserve">Cut-off yaklaşımı “sabitlemek” yerine, yeni sistem için </w:t>
      </w:r>
      <w:r>
        <w:rPr>
          <w:b/>
          <w:bCs/>
        </w:rPr>
        <w:t>norm/validasyon</w:t>
      </w:r>
      <w:r>
        <w:t xml:space="preserve"> tamamlanana kadar “göreli yorum” şemasına (ör. düşük/orta/yüksek bandı) indirgenmeli.</w:t>
      </w:r>
    </w:p>
    <w:p w14:paraId="08571DA4" w14:textId="77777777" w:rsidR="00EE4E57" w:rsidRDefault="00000000">
      <w:pPr>
        <w:pStyle w:val="Balk2"/>
      </w:pPr>
      <w:bookmarkStart w:id="4" w:name="yeni-rag-tasarım-ilkeleri"/>
      <w:bookmarkEnd w:id="3"/>
      <w:r>
        <w:t>Yeni RAG tasarım ilkeleri</w:t>
      </w:r>
    </w:p>
    <w:p w14:paraId="1118C006" w14:textId="77777777" w:rsidR="00EE4E57" w:rsidRDefault="00000000">
      <w:pPr>
        <w:pStyle w:val="FirstParagraph"/>
      </w:pPr>
      <w:r>
        <w:t>Yeni RAG’ın hedefi, LLM’e “ham literatür yığını” vermek değil; rapor motorunun ihtiyacı olan 5 rapor bölümünü (</w:t>
      </w:r>
      <w:r>
        <w:rPr>
          <w:b/>
          <w:bCs/>
        </w:rPr>
        <w:t>skor tablosu, genel yorum, çoklu ölçek analizi, anamnez entegrasyonu, klinik özet</w:t>
      </w:r>
      <w:r>
        <w:t xml:space="preserve">) üretirken </w:t>
      </w:r>
      <w:r>
        <w:rPr>
          <w:b/>
          <w:bCs/>
        </w:rPr>
        <w:t>tutarlı, tanısal olmayan, müdahalesiz</w:t>
      </w:r>
      <w:r>
        <w:t xml:space="preserve"> klinik dil sağlayacak bir </w:t>
      </w:r>
      <w:r>
        <w:rPr>
          <w:i/>
          <w:iCs/>
        </w:rPr>
        <w:t>referans çerçevesi</w:t>
      </w:r>
      <w:r>
        <w:t xml:space="preserve"> vermek olmalı. Çocuklarda öz-düzenleme / regülasyonun biyolojik ve davranışsal süreçlerin bütünleşimi olarak ele alınması, ayrıca bağlamın (bakımveren, rutin, stres) belirleyiciliği erken çocukluk literatürünün merkezinde yer alır; bu yüzden RAG metinleri tek-etkenli “sebep-sonuç” değil, çok-etkenli “ilişki ve olası mekanizma” dili kullanmalıdır. </w:t>
      </w:r>
      <w:hyperlink r:id="rId5">
        <w:r>
          <w:rPr>
            <w:rStyle w:val="Kpr"/>
          </w:rPr>
          <w:t>[1]</w:t>
        </w:r>
      </w:hyperlink>
    </w:p>
    <w:p w14:paraId="7D8B6D6C" w14:textId="77777777" w:rsidR="00EE4E57" w:rsidRDefault="00000000">
      <w:pPr>
        <w:pStyle w:val="GvdeMetni"/>
      </w:pPr>
      <w:r>
        <w:t>Bu bağlamda yeni RAG için tasarım prensipleri:</w:t>
      </w:r>
    </w:p>
    <w:p w14:paraId="68F1D596" w14:textId="77777777" w:rsidR="00EE4E57" w:rsidRDefault="00000000">
      <w:pPr>
        <w:pStyle w:val="Compact"/>
        <w:numPr>
          <w:ilvl w:val="0"/>
          <w:numId w:val="5"/>
        </w:numPr>
      </w:pPr>
      <w:r>
        <w:rPr>
          <w:b/>
          <w:bCs/>
        </w:rPr>
        <w:t>Düşük/Yüksek kavramı puan yönünden bağımsız tanımlanmalı.</w:t>
      </w:r>
      <w:r>
        <w:t xml:space="preserve"> Likert puanlamada “yüksek = daha iyi” mi, “yüksek = daha problemli” mi tamamen madde köklerine bağlıdır. Bu nedenle rapor motoru önce ham skoru “Güçlü / Beklenen / Zorlanma göstergesi” gibi </w:t>
      </w:r>
      <w:r>
        <w:rPr>
          <w:b/>
          <w:bCs/>
        </w:rPr>
        <w:t>kanonik bir eksene</w:t>
      </w:r>
      <w:r>
        <w:t xml:space="preserve"> çevirmeli; RAG anahtarları bu kanonik eksene bağlanmalıdır. (Bu aktarım yapılmadan yazılan RAG, yanlış polariteyle klinik yorum üretir.)</w:t>
      </w:r>
    </w:p>
    <w:p w14:paraId="209BBBA1" w14:textId="77777777" w:rsidR="00EE4E57" w:rsidRDefault="00000000">
      <w:pPr>
        <w:pStyle w:val="Compact"/>
        <w:numPr>
          <w:ilvl w:val="0"/>
          <w:numId w:val="5"/>
        </w:numPr>
      </w:pPr>
      <w:r>
        <w:rPr>
          <w:b/>
          <w:bCs/>
        </w:rPr>
        <w:t>Kesinlik derecesi etiketi olmalı.</w:t>
      </w:r>
      <w:r>
        <w:t xml:space="preserve"> Özellikle ölçekler arası ilişkilerde bazı bağlantılar güçlü ampirik destek taşırken (örn. duyusal aşırı duyarlılık ile anksiyete/irritabilite ilişkisi), bazıları daha çok kavramsal/araştırma-gelişmekte düzeydedir. RAG içinde “kanıt düzeyi” etiketi, LLM’in dili abartmasını azaltır. </w:t>
      </w:r>
      <w:hyperlink r:id="rId6">
        <w:r>
          <w:rPr>
            <w:rStyle w:val="Kpr"/>
          </w:rPr>
          <w:t>[2]</w:t>
        </w:r>
      </w:hyperlink>
    </w:p>
    <w:p w14:paraId="1179C4B1" w14:textId="77777777" w:rsidR="00EE4E57" w:rsidRDefault="00000000">
      <w:pPr>
        <w:pStyle w:val="Compact"/>
        <w:numPr>
          <w:ilvl w:val="0"/>
          <w:numId w:val="5"/>
        </w:numPr>
      </w:pPr>
      <w:r>
        <w:rPr>
          <w:b/>
          <w:bCs/>
        </w:rPr>
        <w:t>Tanı ve müdahale dış sınırı metnin içine gömülmeli.</w:t>
      </w:r>
      <w:r>
        <w:t xml:space="preserve"> Yalnız yönergede yazmak yetmez; RAG’de her bölüm, çıktı cümlelerini “tanısal değildir / müdahale önermez” sınırında biçimlendirmelidir. (LLM davranışı, daha çok gördüğü örnek cümle şablonlarına uyar.) </w:t>
      </w:r>
      <w:hyperlink r:id="rId7">
        <w:r>
          <w:rPr>
            <w:rStyle w:val="Kpr"/>
          </w:rPr>
          <w:t>[3]</w:t>
        </w:r>
      </w:hyperlink>
    </w:p>
    <w:p w14:paraId="077B6C6E" w14:textId="77777777" w:rsidR="00EE4E57" w:rsidRDefault="00000000">
      <w:pPr>
        <w:pStyle w:val="Compact"/>
        <w:numPr>
          <w:ilvl w:val="0"/>
          <w:numId w:val="5"/>
        </w:numPr>
      </w:pPr>
      <w:r>
        <w:rPr>
          <w:b/>
          <w:bCs/>
        </w:rPr>
        <w:t>Erken çocuklukta regülasyon = ko-regülasyon + gelişen öz-düzenleme</w:t>
      </w:r>
      <w:r>
        <w:t xml:space="preserve"> çerçevesi açık olmalı. Bakımveren düzenlemesi (warm ilişki, yapı/rutin, koçluk) çocukta öz-düzenleme becerilerinin gelişimsel zeminidir; RAG metni anamnez entegrasyonunu bu “ko-regülasyon kaynakları” üzerinden bağlamlandırabilmelidir. </w:t>
      </w:r>
      <w:hyperlink r:id="rId8">
        <w:r>
          <w:rPr>
            <w:rStyle w:val="Kpr"/>
          </w:rPr>
          <w:t>[4]</w:t>
        </w:r>
      </w:hyperlink>
    </w:p>
    <w:p w14:paraId="24FB7F4B" w14:textId="77777777" w:rsidR="00EE4E57" w:rsidRDefault="00000000">
      <w:pPr>
        <w:pStyle w:val="Compact"/>
        <w:numPr>
          <w:ilvl w:val="0"/>
          <w:numId w:val="5"/>
        </w:numPr>
      </w:pPr>
      <w:r>
        <w:rPr>
          <w:b/>
          <w:bCs/>
        </w:rPr>
        <w:lastRenderedPageBreak/>
        <w:t>RAG, rapor metni üretmek için “cümle şablonları” içermeli.</w:t>
      </w:r>
      <w:r>
        <w:t xml:space="preserve"> Bu, rapor tonunu standardize eder ve gereksiz klinik spekülasyonu azaltır.</w:t>
      </w:r>
    </w:p>
    <w:p w14:paraId="5F4F3716" w14:textId="77777777" w:rsidR="00EE4E57" w:rsidRDefault="00000000">
      <w:pPr>
        <w:pStyle w:val="FirstParagraph"/>
      </w:pPr>
      <w:r>
        <w:t xml:space="preserve">Teknik açıdan (RAG’in retrieval davranışı için), klinik rapor gibi “önceden tanımlı şablon” problemlerinde serbest metin embedding araması tek başına yeterli olmayabilir; daha düşük hata için </w:t>
      </w:r>
      <w:r>
        <w:rPr>
          <w:b/>
          <w:bCs/>
        </w:rPr>
        <w:t>etiketli parçacıklar</w:t>
      </w:r>
      <w:r>
        <w:t xml:space="preserve"> (id/tag) + isteğe bağlı embedding hibriti tercih edilir. RAG yaklaşımında “parametrik bellek + dış bellek” birleşiminin temel fikri, modelin bilgiyi dış kaynaktan çekerek daha izlenebilir ve güncellenebilir yanıt üretmesidir; fakat bunun gerçekleşmesi, geri getirilen metnin görevle hizalanmasına bağlıdır. </w:t>
      </w:r>
      <w:hyperlink r:id="rId9">
        <w:r>
          <w:rPr>
            <w:rStyle w:val="Kpr"/>
          </w:rPr>
          <w:t>[5]</w:t>
        </w:r>
      </w:hyperlink>
    </w:p>
    <w:p w14:paraId="7D0134D5" w14:textId="77777777" w:rsidR="00EE4E57" w:rsidRDefault="00000000">
      <w:pPr>
        <w:pStyle w:val="Balk2"/>
      </w:pPr>
      <w:bookmarkStart w:id="5" w:name="yeni-rag-taslağı"/>
      <w:bookmarkEnd w:id="4"/>
      <w:r>
        <w:t>Yeni RAG taslağı</w:t>
      </w:r>
    </w:p>
    <w:p w14:paraId="3254DA86" w14:textId="77777777" w:rsidR="00EE4E57" w:rsidRDefault="00000000">
      <w:pPr>
        <w:pStyle w:val="FirstParagraph"/>
      </w:pPr>
      <w:r>
        <w:t>Aşağıdaki taslak, bilgi tabanını “SECTION 1–10” olarak böler ve her bölümde “ID tabanlı” kısa parçacıklar üretir. Uygulamada her “ID bloğu” tek bir RAG chunk olmalı (tek embedding birimi gibi düşünün).</w:t>
      </w:r>
    </w:p>
    <w:p w14:paraId="7C5005FE" w14:textId="77777777" w:rsidR="00EE4E57" w:rsidRDefault="00000000">
      <w:pPr>
        <w:pStyle w:val="GvdeMetni"/>
      </w:pPr>
      <w:r>
        <w:rPr>
          <w:b/>
          <w:bCs/>
        </w:rPr>
        <w:t>Önerilen metadata alanları (taslak):</w:t>
      </w:r>
      <w:r>
        <w:t xml:space="preserve"> - </w:t>
      </w:r>
      <w:r>
        <w:rPr>
          <w:rStyle w:val="VerbatimChar"/>
        </w:rPr>
        <w:t>id</w:t>
      </w:r>
      <w:r>
        <w:t xml:space="preserve">: Örn. </w:t>
      </w:r>
      <w:r>
        <w:rPr>
          <w:rStyle w:val="VerbatimChar"/>
        </w:rPr>
        <w:t>PHYSIO_REG_LOW</w:t>
      </w:r>
      <w:r>
        <w:t xml:space="preserve"> - </w:t>
      </w:r>
      <w:r>
        <w:rPr>
          <w:rStyle w:val="VerbatimChar"/>
        </w:rPr>
        <w:t>section</w:t>
      </w:r>
      <w:r>
        <w:t xml:space="preserve">: </w:t>
      </w:r>
      <w:r>
        <w:rPr>
          <w:rStyle w:val="VerbatimChar"/>
        </w:rPr>
        <w:t>2_physio</w:t>
      </w:r>
      <w:r>
        <w:t xml:space="preserve"> - </w:t>
      </w:r>
      <w:r>
        <w:rPr>
          <w:rStyle w:val="VerbatimChar"/>
        </w:rPr>
        <w:t>tags</w:t>
      </w:r>
      <w:r>
        <w:t xml:space="preserve">: </w:t>
      </w:r>
      <w:r>
        <w:rPr>
          <w:rStyle w:val="VerbatimChar"/>
        </w:rPr>
        <w:t>["scale:physio","level:low","age:2-5","purpose:general_comment"]</w:t>
      </w:r>
      <w:r>
        <w:t xml:space="preserve"> - </w:t>
      </w:r>
      <w:r>
        <w:rPr>
          <w:rStyle w:val="VerbatimChar"/>
        </w:rPr>
        <w:t>evidence_level</w:t>
      </w:r>
      <w:r>
        <w:t xml:space="preserve">: </w:t>
      </w:r>
      <w:r>
        <w:rPr>
          <w:rStyle w:val="VerbatimChar"/>
        </w:rPr>
        <w:t>high / moderate / emerging</w:t>
      </w:r>
      <w:r>
        <w:t xml:space="preserve"> - </w:t>
      </w:r>
      <w:r>
        <w:rPr>
          <w:rStyle w:val="VerbatimChar"/>
        </w:rPr>
        <w:t>text</w:t>
      </w:r>
      <w:r>
        <w:t>: Klinik açıklama + gözlenebilir örüntüler + nötr rapor dili</w:t>
      </w:r>
    </w:p>
    <w:p w14:paraId="2502CDC6" w14:textId="77777777" w:rsidR="00EE4E57" w:rsidRDefault="00000000">
      <w:pPr>
        <w:pStyle w:val="GvdeMetni"/>
      </w:pPr>
      <w:r>
        <w:rPr>
          <w:b/>
          <w:bCs/>
        </w:rPr>
        <w:t>SECTION haritası (taslak içerik başlıkları):</w:t>
      </w:r>
      <w:r>
        <w:t xml:space="preserve"> - SECTION 1: Regülasyon kavramı (öz-düzenleme, ko-regülasyon, gelişimsel bağlam, rapor sınırları) - SECTION 2–7: Her ölçek için </w:t>
      </w:r>
      <w:r>
        <w:rPr>
          <w:rStyle w:val="VerbatimChar"/>
        </w:rPr>
        <w:t>LOW</w:t>
      </w:r>
      <w:r>
        <w:t xml:space="preserve">, </w:t>
      </w:r>
      <w:r>
        <w:rPr>
          <w:rStyle w:val="VerbatimChar"/>
        </w:rPr>
        <w:t>HIGH</w:t>
      </w:r>
      <w:r>
        <w:t xml:space="preserve">, </w:t>
      </w:r>
      <w:r>
        <w:rPr>
          <w:rStyle w:val="VerbatimChar"/>
        </w:rPr>
        <w:t>CONTEXT_CHECKS</w:t>
      </w:r>
      <w:r>
        <w:t xml:space="preserve"> - SECTION 8: Çiftli ve üçlü örüntüler (ölçekler arası analiz) - SECTION 9: Risk profili çıkarımı (yaygın vs seçici zorluk; asimetri profilleri; tutarlılık kontrolleri) - SECTION 10: Anamnez entegrasyonu (uyku, yeme, rutin, medikal geçmiş, çevresel stres, eğitim/kreş, ebeveyn endişeleri → hangi ölçek yorumunu nasıl modüle eder)</w:t>
      </w:r>
    </w:p>
    <w:p w14:paraId="779CD900" w14:textId="77777777" w:rsidR="00EE4E57" w:rsidRDefault="00000000">
      <w:pPr>
        <w:pStyle w:val="GvdeMetni"/>
      </w:pPr>
      <w:r>
        <w:t xml:space="preserve">Bu taslakta özellikle önemli bir karar: </w:t>
      </w:r>
      <w:r>
        <w:rPr>
          <w:b/>
          <w:bCs/>
        </w:rPr>
        <w:t>Yeni sistemin 10 maddelik kısaltılmış ölçekleri</w:t>
      </w:r>
      <w:r>
        <w:t xml:space="preserve">, orijinal ölçeklerin psikometrik özelliklerini otomatik olarak taşımaz. Örneğin interosepsiyon için erken çocuklukta geliştirilen ve 36 maddelik bakımveren raporu olan DMIM’in güçlü psikometrik özellikleri raporlanmıştır; ancak 10 maddelik kısaltma, aynı faktör yapısı ve ayırt ediciliği korumayabilir. Bu nedenle RAG metni, rapor cümlelerinde “ölçüm belirsizliği” ve “bağlamsallık” dilini içermelidir. </w:t>
      </w:r>
      <w:hyperlink r:id="rId10">
        <w:r>
          <w:rPr>
            <w:rStyle w:val="Kpr"/>
          </w:rPr>
          <w:t>[6]</w:t>
        </w:r>
      </w:hyperlink>
    </w:p>
    <w:p w14:paraId="573DDE6B" w14:textId="77777777" w:rsidR="00EE4E57" w:rsidRDefault="00000000">
      <w:pPr>
        <w:pStyle w:val="Balk2"/>
      </w:pPr>
      <w:bookmarkStart w:id="6" w:name="X67787568603b0c2f22e5524c29059b33c08789a"/>
      <w:bookmarkEnd w:id="5"/>
      <w:r>
        <w:t>AI rapor motoru için optimize edilmiş final RAG</w:t>
      </w:r>
    </w:p>
    <w:p w14:paraId="7B8A8DA7" w14:textId="77777777" w:rsidR="00EE4E57" w:rsidRDefault="00000000">
      <w:pPr>
        <w:pStyle w:val="FirstParagraph"/>
      </w:pPr>
      <w:r>
        <w:t xml:space="preserve">Aşağıdaki final RAG, sizin istediğiniz “ID + klinik anlam + gözlenen örüntüler” formatına göre, 10 SECTION altında yazılmıştır. Metinler tanısal değildir, müdahale/plan önermez; sadece klinik yorumlama dilini standardize etmeyi hedefler. Regülasyonun erken çocuklukta gelişimsel ve bağlamsal doğası, ko-regülasyon çerçevesi, duyusal-aşırı duyarlılık ve öz-düzenleme bulguları ile yürütücü işlev ve interosepsiyon literatürü temel alınmıştır. </w:t>
      </w:r>
      <w:hyperlink r:id="rId11">
        <w:r>
          <w:rPr>
            <w:rStyle w:val="Kpr"/>
          </w:rPr>
          <w:t>[7]</w:t>
        </w:r>
      </w:hyperlink>
    </w:p>
    <w:p w14:paraId="0D693742" w14:textId="77777777" w:rsidR="00EE4E57" w:rsidRDefault="00000000">
      <w:pPr>
        <w:pStyle w:val="SourceCode"/>
      </w:pPr>
      <w:r>
        <w:rPr>
          <w:rStyle w:val="VerbatimChar"/>
        </w:rPr>
        <w:t>SECTION 1 — REGÜLASYON KAVRAMI</w:t>
      </w:r>
      <w:r>
        <w:br/>
      </w:r>
      <w:r>
        <w:br/>
      </w:r>
      <w:r>
        <w:rPr>
          <w:rStyle w:val="VerbatimChar"/>
        </w:rPr>
        <w:t>REGULATION_CONCEPT_OVERVIEW</w:t>
      </w:r>
      <w:r>
        <w:br/>
      </w:r>
      <w:r>
        <w:rPr>
          <w:rStyle w:val="VerbatimChar"/>
        </w:rPr>
        <w:lastRenderedPageBreak/>
        <w:t>Clinical meaning:</w:t>
      </w:r>
      <w:r>
        <w:br/>
      </w:r>
      <w:r>
        <w:rPr>
          <w:rStyle w:val="VerbatimChar"/>
        </w:rPr>
        <w:t>- Regülasyon (öz-düzenleme), çocuğun hedef odaklı davranışı sürdürebilmek için dikkatini, duygusunu, bedensel uyarılma düzeyini ve davranışını ayarlayabilme kapasitesidir.</w:t>
      </w:r>
      <w:r>
        <w:br/>
      </w:r>
      <w:r>
        <w:rPr>
          <w:rStyle w:val="VerbatimChar"/>
        </w:rPr>
        <w:t>- Erken çocuklukta regülasyon, “çocuğun tek başına becerisi” olmaktan çok, bakımverenle ko-regülasyon içinde gelişen bir süreçtir.</w:t>
      </w:r>
      <w:r>
        <w:br/>
      </w:r>
      <w:r>
        <w:br/>
      </w:r>
      <w:r>
        <w:rPr>
          <w:rStyle w:val="VerbatimChar"/>
        </w:rPr>
        <w:t>Observed patterns may include:</w:t>
      </w:r>
      <w:r>
        <w:br/>
      </w:r>
      <w:r>
        <w:rPr>
          <w:rStyle w:val="VerbatimChar"/>
        </w:rPr>
        <w:t>- Duygusal tepkilerin yoğunluğu/süresi bağlama göre değişir (ev–kreş farklılığı gibi).</w:t>
      </w:r>
      <w:r>
        <w:br/>
      </w:r>
      <w:r>
        <w:rPr>
          <w:rStyle w:val="VerbatimChar"/>
        </w:rPr>
        <w:t>- Rutin, uyku, beslenme ve çevresel stres regülasyon performansını belirgin etkileyebilir.</w:t>
      </w:r>
      <w:r>
        <w:br/>
      </w:r>
      <w:r>
        <w:br/>
      </w:r>
      <w:r>
        <w:rPr>
          <w:rStyle w:val="VerbatimChar"/>
        </w:rPr>
        <w:t>Neutral report phrasing:</w:t>
      </w:r>
      <w:r>
        <w:br/>
      </w:r>
      <w:r>
        <w:rPr>
          <w:rStyle w:val="VerbatimChar"/>
        </w:rPr>
        <w:t>- “Bulgular, çocuğun regülasyon kapasitesinin bazı durumlarda değişken olabileceğini düşündürmektedir.”</w:t>
      </w:r>
      <w:r>
        <w:br/>
      </w:r>
      <w:r>
        <w:br/>
      </w:r>
      <w:r>
        <w:rPr>
          <w:rStyle w:val="VerbatimChar"/>
        </w:rPr>
        <w:t>REGULATION_DEVELOPMENT_AGE_2_5</w:t>
      </w:r>
      <w:r>
        <w:br/>
      </w:r>
      <w:r>
        <w:rPr>
          <w:rStyle w:val="VerbatimChar"/>
        </w:rPr>
        <w:t>Clinical meaning:</w:t>
      </w:r>
      <w:r>
        <w:br/>
      </w:r>
      <w:r>
        <w:rPr>
          <w:rStyle w:val="VerbatimChar"/>
        </w:rPr>
        <w:t>- 2–5 yaş aralığı, öz-düzenlemenin hızla geliştiği, ancak hâlâ ko-regülasyona (yetişkin desteğine) belirgin biçimde bağımlı olduğu dönemdir.</w:t>
      </w:r>
      <w:r>
        <w:br/>
      </w:r>
      <w:r>
        <w:rPr>
          <w:rStyle w:val="VerbatimChar"/>
        </w:rPr>
        <w:t>- Bu yaş aralığında duygusal patlamalar ve dikkat dalgalanmaları tamamen “var/yok” değil, sıklık/şiddet/iyileşme hızı ekseninde değerlendirilmelidir.</w:t>
      </w:r>
      <w:r>
        <w:br/>
      </w:r>
      <w:r>
        <w:br/>
      </w:r>
      <w:r>
        <w:rPr>
          <w:rStyle w:val="VerbatimChar"/>
        </w:rPr>
        <w:t>Neutral report phrasing:</w:t>
      </w:r>
      <w:r>
        <w:br/>
      </w:r>
      <w:r>
        <w:rPr>
          <w:rStyle w:val="VerbatimChar"/>
        </w:rPr>
        <w:t>- “Bu yaş aralığında regülasyon becerileri gelişimsel olarak değişkenlik gösterebilir; skorlar bağlam bilgisiyle birlikte anlamlandırılmıştır.”</w:t>
      </w:r>
      <w:r>
        <w:br/>
      </w:r>
      <w:r>
        <w:br/>
      </w:r>
      <w:r>
        <w:rPr>
          <w:rStyle w:val="VerbatimChar"/>
        </w:rPr>
        <w:t>REPORT_BOUNDARIES_NO_DIAGNOSIS_NO_INTERVENTION</w:t>
      </w:r>
      <w:r>
        <w:br/>
      </w:r>
      <w:r>
        <w:rPr>
          <w:rStyle w:val="VerbatimChar"/>
        </w:rPr>
        <w:t>Clinical meaning:</w:t>
      </w:r>
      <w:r>
        <w:br/>
      </w:r>
      <w:r>
        <w:rPr>
          <w:rStyle w:val="VerbatimChar"/>
        </w:rPr>
        <w:t>- Bu rapor tanı koymaz; müdahale/terapi planı önermez.</w:t>
      </w:r>
      <w:r>
        <w:br/>
      </w:r>
      <w:r>
        <w:rPr>
          <w:rStyle w:val="VerbatimChar"/>
        </w:rPr>
        <w:t>- Amaç, çoklu ölçek verisini ve anamnez bağlamını birleştirerek terapiste bütüncül yorum desteği sağlamaktır.</w:t>
      </w:r>
      <w:r>
        <w:br/>
      </w:r>
      <w:r>
        <w:br/>
      </w:r>
      <w:r>
        <w:rPr>
          <w:rStyle w:val="VerbatimChar"/>
        </w:rPr>
        <w:t>Neutral report phrasing:</w:t>
      </w:r>
      <w:r>
        <w:br/>
      </w:r>
      <w:r>
        <w:rPr>
          <w:rStyle w:val="VerbatimChar"/>
        </w:rPr>
        <w:t>- “Bu yorumlar tanı yerine, değerlendirme bulgularının bütünleşik özetini sunar.”</w:t>
      </w:r>
      <w:r>
        <w:br/>
      </w:r>
      <w:r>
        <w:br/>
      </w:r>
      <w:r>
        <w:rPr>
          <w:rStyle w:val="VerbatimChar"/>
        </w:rPr>
        <w:t>EVIDENCE_LANGUAGE_GUIDE</w:t>
      </w:r>
      <w:r>
        <w:br/>
      </w:r>
      <w:r>
        <w:rPr>
          <w:rStyle w:val="VerbatimChar"/>
        </w:rPr>
        <w:t>Clinical meaning:</w:t>
      </w:r>
      <w:r>
        <w:br/>
      </w:r>
      <w:r>
        <w:rPr>
          <w:rStyle w:val="VerbatimChar"/>
        </w:rPr>
        <w:t>- Rapor dilinde neden-sonuç yerine ilişki olasılığı vurgulanır: “ilişkili olabilir / eşlik edebilir / artırabilir”.</w:t>
      </w:r>
      <w:r>
        <w:br/>
      </w:r>
      <w:r>
        <w:rPr>
          <w:rStyle w:val="VerbatimChar"/>
        </w:rPr>
        <w:t>- Özellikle ölçekler arası yorumlarda kesin çıkarım yerine ‘örüntü’ dili tercih edilir.</w:t>
      </w:r>
      <w:r>
        <w:br/>
      </w:r>
      <w:r>
        <w:br/>
      </w:r>
      <w:r>
        <w:rPr>
          <w:rStyle w:val="VerbatimChar"/>
        </w:rPr>
        <w:t>Neutral report phrasing:</w:t>
      </w:r>
      <w:r>
        <w:br/>
      </w:r>
      <w:r>
        <w:rPr>
          <w:rStyle w:val="VerbatimChar"/>
        </w:rPr>
        <w:t>- “Bu örüntü, X alanındaki zorlanmaların Y alanına da yansıyabileceğini düşündürmektedir.”</w:t>
      </w:r>
      <w:r>
        <w:br/>
      </w:r>
      <w:r>
        <w:br/>
      </w:r>
      <w:r>
        <w:lastRenderedPageBreak/>
        <w:br/>
      </w:r>
      <w:r>
        <w:rPr>
          <w:rStyle w:val="VerbatimChar"/>
        </w:rPr>
        <w:t>SECTION 2 — FİZYOLOJİK REGÜLASYON (uyku, iştah, stres-bedensel ritimler)</w:t>
      </w:r>
      <w:r>
        <w:br/>
      </w:r>
      <w:r>
        <w:br/>
      </w:r>
      <w:r>
        <w:rPr>
          <w:rStyle w:val="VerbatimChar"/>
        </w:rPr>
        <w:t>PHYSIO_REG_LOW</w:t>
      </w:r>
      <w:r>
        <w:br/>
      </w:r>
      <w:r>
        <w:rPr>
          <w:rStyle w:val="VerbatimChar"/>
        </w:rPr>
        <w:t>Clinical meaning:</w:t>
      </w:r>
      <w:r>
        <w:br/>
      </w:r>
      <w:r>
        <w:rPr>
          <w:rStyle w:val="VerbatimChar"/>
        </w:rPr>
        <w:t>- Daha düşük fizyolojik regülasyon, çocuğun uyku-uyanıklık döngüsü, enerji düzeyi ve bedensel yatışma hızında yaşına göre daha fazla zorlanma gösterebileceğini düşündürür.</w:t>
      </w:r>
      <w:r>
        <w:br/>
      </w:r>
      <w:r>
        <w:rPr>
          <w:rStyle w:val="VerbatimChar"/>
        </w:rPr>
        <w:t>- Fizyolojik regülasyon, duygusal ve bilişsel regülasyonun “zemin değişkeni” gibi çalışabilir; uyku/enerji bozulduğunda diğer alanlarda regülasyon zorlaşabilir.</w:t>
      </w:r>
      <w:r>
        <w:br/>
      </w:r>
      <w:r>
        <w:br/>
      </w:r>
      <w:r>
        <w:rPr>
          <w:rStyle w:val="VerbatimChar"/>
        </w:rPr>
        <w:t>Observed patterns may include:</w:t>
      </w:r>
      <w:r>
        <w:br/>
      </w:r>
      <w:r>
        <w:rPr>
          <w:rStyle w:val="VerbatimChar"/>
        </w:rPr>
        <w:t>- Uykuya dalma güçlüğü, sık uyanma, sabah yorgun uyanma</w:t>
      </w:r>
      <w:r>
        <w:br/>
      </w:r>
      <w:r>
        <w:rPr>
          <w:rStyle w:val="VerbatimChar"/>
        </w:rPr>
        <w:t>- Gün içinde dalgalı enerji (aşırı hareketlilik veya çabuk tükenme)</w:t>
      </w:r>
      <w:r>
        <w:br/>
      </w:r>
      <w:r>
        <w:rPr>
          <w:rStyle w:val="VerbatimChar"/>
        </w:rPr>
        <w:t>- Stres sonrası sakinleşmenin uzaması</w:t>
      </w:r>
      <w:r>
        <w:br/>
      </w:r>
      <w:r>
        <w:rPr>
          <w:rStyle w:val="VerbatimChar"/>
        </w:rPr>
        <w:t>- İştah/rutinlerde düzensizlik (bağlamla birlikte yorumlanır)</w:t>
      </w:r>
      <w:r>
        <w:br/>
      </w:r>
      <w:r>
        <w:br/>
      </w:r>
      <w:r>
        <w:rPr>
          <w:rStyle w:val="VerbatimChar"/>
        </w:rPr>
        <w:t>Neutral report phrasing:</w:t>
      </w:r>
      <w:r>
        <w:br/>
      </w:r>
      <w:r>
        <w:rPr>
          <w:rStyle w:val="VerbatimChar"/>
        </w:rPr>
        <w:t>- “Fizyolojik regülasyon alanındaki skor, bedensel ritimlerin bazı dönemlerde daha zor dengelenebileceğine işaret edebilir.”</w:t>
      </w:r>
      <w:r>
        <w:br/>
      </w:r>
      <w:r>
        <w:br/>
      </w:r>
      <w:r>
        <w:rPr>
          <w:rStyle w:val="VerbatimChar"/>
        </w:rPr>
        <w:t>PHYSIO_REG_HIGH</w:t>
      </w:r>
      <w:r>
        <w:br/>
      </w:r>
      <w:r>
        <w:rPr>
          <w:rStyle w:val="VerbatimChar"/>
        </w:rPr>
        <w:t>Clinical meaning:</w:t>
      </w:r>
      <w:r>
        <w:br/>
      </w:r>
      <w:r>
        <w:rPr>
          <w:rStyle w:val="VerbatimChar"/>
        </w:rPr>
        <w:t>- Daha yüksek fizyolojik regülasyon, uyku ve temel ritimlerin yaşa uygun daha stabil olabileceğini; stres sonrası toparlanmanın daha hızlı olabileceğini düşündürür.</w:t>
      </w:r>
      <w:r>
        <w:br/>
      </w:r>
      <w:r>
        <w:br/>
      </w:r>
      <w:r>
        <w:rPr>
          <w:rStyle w:val="VerbatimChar"/>
        </w:rPr>
        <w:t>Neutral report phrasing:</w:t>
      </w:r>
      <w:r>
        <w:br/>
      </w:r>
      <w:r>
        <w:rPr>
          <w:rStyle w:val="VerbatimChar"/>
        </w:rPr>
        <w:t>- “Fizyolojik ritimlerin yaşa uygun daha dengeli ilerlediği izlenimi vardır.”</w:t>
      </w:r>
      <w:r>
        <w:br/>
      </w:r>
      <w:r>
        <w:br/>
      </w:r>
      <w:r>
        <w:rPr>
          <w:rStyle w:val="VerbatimChar"/>
        </w:rPr>
        <w:t>PHYSIO_REG_CONTEXT_CHECKS</w:t>
      </w:r>
      <w:r>
        <w:br/>
      </w:r>
      <w:r>
        <w:rPr>
          <w:rStyle w:val="VerbatimChar"/>
        </w:rPr>
        <w:t>Clinical meaning:</w:t>
      </w:r>
      <w:r>
        <w:br/>
      </w:r>
      <w:r>
        <w:rPr>
          <w:rStyle w:val="VerbatimChar"/>
        </w:rPr>
        <w:t>- Fizyolojik ritimler, ev rutinleri, kreş düzeni, hastalık dönemleri ve aile stresinden güçlü biçimde etkilenebilir.</w:t>
      </w:r>
      <w:r>
        <w:br/>
      </w:r>
      <w:r>
        <w:rPr>
          <w:rStyle w:val="VerbatimChar"/>
        </w:rPr>
        <w:t>- Anamnezde dönemsel bir bozulma (örn. yakın enfeksiyon, taşınma, yeni kardeş) varsa, skor yorumunda “durumsallık” vurgulanmalıdır.</w:t>
      </w:r>
      <w:r>
        <w:br/>
      </w:r>
      <w:r>
        <w:br/>
      </w:r>
      <w:r>
        <w:rPr>
          <w:rStyle w:val="VerbatimChar"/>
        </w:rPr>
        <w:t>Neutral report phrasing:</w:t>
      </w:r>
      <w:r>
        <w:br/>
      </w:r>
      <w:r>
        <w:rPr>
          <w:rStyle w:val="VerbatimChar"/>
        </w:rPr>
        <w:t>- “Fizyolojik bulgular, yaşam rutini ve yakın dönem stresörleriyle birlikte ele alınmıştır.”</w:t>
      </w:r>
      <w:r>
        <w:br/>
      </w:r>
      <w:r>
        <w:br/>
      </w:r>
      <w:r>
        <w:br/>
      </w:r>
      <w:r>
        <w:rPr>
          <w:rStyle w:val="VerbatimChar"/>
        </w:rPr>
        <w:t>SECTION 3 — DUYUSAL REGÜLASYON (işitsel, görsel, dokunsal, tat/koku, vb.)</w:t>
      </w:r>
      <w:r>
        <w:br/>
      </w:r>
      <w:r>
        <w:br/>
      </w:r>
      <w:r>
        <w:rPr>
          <w:rStyle w:val="VerbatimChar"/>
        </w:rPr>
        <w:t>SENSORY_REG_LOW</w:t>
      </w:r>
      <w:r>
        <w:br/>
      </w:r>
      <w:r>
        <w:rPr>
          <w:rStyle w:val="VerbatimChar"/>
        </w:rPr>
        <w:t>Clinical meaning:</w:t>
      </w:r>
      <w:r>
        <w:br/>
      </w:r>
      <w:r>
        <w:rPr>
          <w:rStyle w:val="VerbatimChar"/>
        </w:rPr>
        <w:t xml:space="preserve">- Daha düşük duyusal regülasyon, çocuğun çevresel uyaranlara verdiği tepkiyi </w:t>
      </w:r>
      <w:r>
        <w:rPr>
          <w:rStyle w:val="VerbatimChar"/>
        </w:rPr>
        <w:lastRenderedPageBreak/>
        <w:t>ayarlamada zorlanabileceğini (aşırı tepki / yetersiz tepki / yoğun arayış) düşündürür.</w:t>
      </w:r>
      <w:r>
        <w:br/>
      </w:r>
      <w:r>
        <w:rPr>
          <w:rStyle w:val="VerbatimChar"/>
        </w:rPr>
        <w:t>- Erken çocuklukta duyusal aşırı duyarlılık bulguları; kaygı, irritabilite ve uyku sorunlarıyla ilişki gösterebilir. Bu ilişki nedensellik değil, eşleşen risk örüntüsü düzeyindedir.</w:t>
      </w:r>
      <w:r>
        <w:br/>
      </w:r>
      <w:r>
        <w:br/>
      </w:r>
      <w:r>
        <w:rPr>
          <w:rStyle w:val="VerbatimChar"/>
        </w:rPr>
        <w:t>Observed patterns may include:</w:t>
      </w:r>
      <w:r>
        <w:br/>
      </w:r>
      <w:r>
        <w:rPr>
          <w:rStyle w:val="VerbatimChar"/>
        </w:rPr>
        <w:t>- Ses/kalabalık/ışık/dokunmaya aşırı hassasiyet (kaçınma, ağlama, huzursuzluk)</w:t>
      </w:r>
      <w:r>
        <w:br/>
      </w:r>
      <w:r>
        <w:rPr>
          <w:rStyle w:val="VerbatimChar"/>
        </w:rPr>
        <w:t>- Duyusal arayış (yerinde duramama, sürekli hareket ve temas arama)</w:t>
      </w:r>
      <w:r>
        <w:br/>
      </w:r>
      <w:r>
        <w:rPr>
          <w:rStyle w:val="VerbatimChar"/>
        </w:rPr>
        <w:t>- Duyusal “kaçırma” (adıyla seslenmeye gecikmeli tepki, tehlike sinyallerini fark etmeme gibi)</w:t>
      </w:r>
      <w:r>
        <w:br/>
      </w:r>
      <w:r>
        <w:br/>
      </w:r>
      <w:r>
        <w:rPr>
          <w:rStyle w:val="VerbatimChar"/>
        </w:rPr>
        <w:t>Neutral report phrasing:</w:t>
      </w:r>
      <w:r>
        <w:br/>
      </w:r>
      <w:r>
        <w:rPr>
          <w:rStyle w:val="VerbatimChar"/>
        </w:rPr>
        <w:t>- “Duyusal uyaranlara verdiği tepkilerin yoğunluğu ve değişkenliği, regülasyon yükünü artırıyor olabilir.”</w:t>
      </w:r>
      <w:r>
        <w:br/>
      </w:r>
      <w:r>
        <w:br/>
      </w:r>
      <w:r>
        <w:rPr>
          <w:rStyle w:val="VerbatimChar"/>
        </w:rPr>
        <w:t>SENSORY_REG_HIGH</w:t>
      </w:r>
      <w:r>
        <w:br/>
      </w:r>
      <w:r>
        <w:rPr>
          <w:rStyle w:val="VerbatimChar"/>
        </w:rPr>
        <w:t>Clinical meaning:</w:t>
      </w:r>
      <w:r>
        <w:br/>
      </w:r>
      <w:r>
        <w:rPr>
          <w:rStyle w:val="VerbatimChar"/>
        </w:rPr>
        <w:t>- Daha yüksek duyusal regülasyon, çocuğun çevresel uyaranlara tepkilerinin daha dengeli olabileceğini ve günlük ortamlara uyumunun daha rahat ilerleyebileceğini düşündürür.</w:t>
      </w:r>
      <w:r>
        <w:br/>
      </w:r>
      <w:r>
        <w:br/>
      </w:r>
      <w:r>
        <w:rPr>
          <w:rStyle w:val="VerbatimChar"/>
        </w:rPr>
        <w:t>Neutral report phrasing:</w:t>
      </w:r>
      <w:r>
        <w:br/>
      </w:r>
      <w:r>
        <w:rPr>
          <w:rStyle w:val="VerbatimChar"/>
        </w:rPr>
        <w:t>- “Çevresel uyaranlara uyum kapasitesinin yaşına uygun olduğu izlenmektedir.”</w:t>
      </w:r>
      <w:r>
        <w:br/>
      </w:r>
      <w:r>
        <w:br/>
      </w:r>
      <w:r>
        <w:rPr>
          <w:rStyle w:val="VerbatimChar"/>
        </w:rPr>
        <w:t>SENSORY_REG_CONTEXT_CHECKS</w:t>
      </w:r>
      <w:r>
        <w:br/>
      </w:r>
      <w:r>
        <w:rPr>
          <w:rStyle w:val="VerbatimChar"/>
        </w:rPr>
        <w:t>Clinical meaning:</w:t>
      </w:r>
      <w:r>
        <w:br/>
      </w:r>
      <w:r>
        <w:rPr>
          <w:rStyle w:val="VerbatimChar"/>
        </w:rPr>
        <w:t>- Duyusal zorlanmalar bazı ortamlarda belirginleşip bazılarında sönümlenebilir (örn. kreşte daha belirgin, evde daha az).</w:t>
      </w:r>
      <w:r>
        <w:br/>
      </w:r>
      <w:r>
        <w:rPr>
          <w:rStyle w:val="VerbatimChar"/>
        </w:rPr>
        <w:t>- Anamnezde “belirli tetikleyiciler” (kalabalık, kıyafet etiketleri, saç yıkama, yemek dokusu) varsa rapor bunu ölçek yorumuna bağlamalıdır.</w:t>
      </w:r>
      <w:r>
        <w:br/>
      </w:r>
      <w:r>
        <w:br/>
      </w:r>
      <w:r>
        <w:rPr>
          <w:rStyle w:val="VerbatimChar"/>
        </w:rPr>
        <w:t>Neutral report phrasing:</w:t>
      </w:r>
      <w:r>
        <w:br/>
      </w:r>
      <w:r>
        <w:rPr>
          <w:rStyle w:val="VerbatimChar"/>
        </w:rPr>
        <w:t>- “Bazı duyusal tetikleyiciler, duygusal ve davranışsal regülasyonu ikincil olarak zorlaştırabilir.”</w:t>
      </w:r>
      <w:r>
        <w:br/>
      </w:r>
      <w:r>
        <w:br/>
      </w:r>
      <w:r>
        <w:br/>
      </w:r>
      <w:r>
        <w:rPr>
          <w:rStyle w:val="VerbatimChar"/>
        </w:rPr>
        <w:t>SECTION 4 — DUYGUSAL REGÜLASYON (öfke, yatışma, duygu yoğunluğu ve ifadesi)</w:t>
      </w:r>
      <w:r>
        <w:br/>
      </w:r>
      <w:r>
        <w:br/>
      </w:r>
      <w:r>
        <w:rPr>
          <w:rStyle w:val="VerbatimChar"/>
        </w:rPr>
        <w:t>EMOTIONAL_REG_LOW</w:t>
      </w:r>
      <w:r>
        <w:br/>
      </w:r>
      <w:r>
        <w:rPr>
          <w:rStyle w:val="VerbatimChar"/>
        </w:rPr>
        <w:t>Clinical meaning:</w:t>
      </w:r>
      <w:r>
        <w:br/>
      </w:r>
      <w:r>
        <w:rPr>
          <w:rStyle w:val="VerbatimChar"/>
        </w:rPr>
        <w:t>- Daha düşük duygusal regülasyon, duygunun yoğunluğu/süresi üzerinde kontrolün daha zor olabileceğini; özellikle engellenme ve geçiş anlarında yatışmanın uzayabileceğini düşündürür.</w:t>
      </w:r>
      <w:r>
        <w:br/>
      </w:r>
      <w:r>
        <w:rPr>
          <w:rStyle w:val="VerbatimChar"/>
        </w:rPr>
        <w:t>- Erken çocuklukta duygusal regülasyon; bakımveren ko-regülasyonu, dil becerileri ve yürütücü işlevlerle etkileşim içindedir.</w:t>
      </w:r>
      <w:r>
        <w:br/>
      </w:r>
      <w:r>
        <w:br/>
      </w:r>
      <w:r>
        <w:rPr>
          <w:rStyle w:val="VerbatimChar"/>
        </w:rPr>
        <w:t>Observed patterns may include:</w:t>
      </w:r>
      <w:r>
        <w:br/>
      </w:r>
      <w:r>
        <w:rPr>
          <w:rStyle w:val="VerbatimChar"/>
        </w:rPr>
        <w:lastRenderedPageBreak/>
        <w:t>- Sık ve yoğun öfke patlamaları, engellenmeye düşük tolerans</w:t>
      </w:r>
      <w:r>
        <w:br/>
      </w:r>
      <w:r>
        <w:rPr>
          <w:rStyle w:val="VerbatimChar"/>
        </w:rPr>
        <w:t>- Yatışmanın gecikmesi (kriz sonrası uzun “toparlanma”)</w:t>
      </w:r>
      <w:r>
        <w:br/>
      </w:r>
      <w:r>
        <w:rPr>
          <w:rStyle w:val="VerbatimChar"/>
        </w:rPr>
        <w:t>- Duyguyu sözel ifade yerine davranışla boşaltma eğilimi</w:t>
      </w:r>
      <w:r>
        <w:br/>
      </w:r>
      <w:r>
        <w:rPr>
          <w:rStyle w:val="VerbatimChar"/>
        </w:rPr>
        <w:t>- Bazı çocuklarda “yüksek bastırma/çekilme” örüntüsü (dıştan sakin görünüm + içsel gerginlik olasılığı)</w:t>
      </w:r>
      <w:r>
        <w:br/>
      </w:r>
      <w:r>
        <w:br/>
      </w:r>
      <w:r>
        <w:rPr>
          <w:rStyle w:val="VerbatimChar"/>
        </w:rPr>
        <w:t>Neutral report phrasing:</w:t>
      </w:r>
      <w:r>
        <w:br/>
      </w:r>
      <w:r>
        <w:rPr>
          <w:rStyle w:val="VerbatimChar"/>
        </w:rPr>
        <w:t>- “Bulgular, duygusal tepkilerin yönetiminde yaşa göre daha fazla desteğe ihtiyaç olabileceğini düşündürmektedir.”</w:t>
      </w:r>
      <w:r>
        <w:br/>
      </w:r>
      <w:r>
        <w:br/>
      </w:r>
      <w:r>
        <w:rPr>
          <w:rStyle w:val="VerbatimChar"/>
        </w:rPr>
        <w:t>EMOTIONAL_REG_HIGH</w:t>
      </w:r>
      <w:r>
        <w:br/>
      </w:r>
      <w:r>
        <w:rPr>
          <w:rStyle w:val="VerbatimChar"/>
        </w:rPr>
        <w:t>Clinical meaning:</w:t>
      </w:r>
      <w:r>
        <w:br/>
      </w:r>
      <w:r>
        <w:rPr>
          <w:rStyle w:val="VerbatimChar"/>
        </w:rPr>
        <w:t>- Daha yüksek duygusal regülasyon, duygusal tepkilerin daha kısa sürede toparlanabildiğini ve daha esnek stratejiler kullanılabildiğini düşündürür.</w:t>
      </w:r>
      <w:r>
        <w:br/>
      </w:r>
      <w:r>
        <w:br/>
      </w:r>
      <w:r>
        <w:rPr>
          <w:rStyle w:val="VerbatimChar"/>
        </w:rPr>
        <w:t>Neutral report phrasing:</w:t>
      </w:r>
      <w:r>
        <w:br/>
      </w:r>
      <w:r>
        <w:rPr>
          <w:rStyle w:val="VerbatimChar"/>
        </w:rPr>
        <w:t>- “Duygusal tepkilerin düzenlenmesinde yaşa uygun esneklik izlenmektedir.”</w:t>
      </w:r>
      <w:r>
        <w:br/>
      </w:r>
      <w:r>
        <w:br/>
      </w:r>
      <w:r>
        <w:rPr>
          <w:rStyle w:val="VerbatimChar"/>
        </w:rPr>
        <w:t>EMOTIONAL_REG_CONTEXT_CHECKS</w:t>
      </w:r>
      <w:r>
        <w:br/>
      </w:r>
      <w:r>
        <w:rPr>
          <w:rStyle w:val="VerbatimChar"/>
        </w:rPr>
        <w:t>Clinical meaning:</w:t>
      </w:r>
      <w:r>
        <w:br/>
      </w:r>
      <w:r>
        <w:rPr>
          <w:rStyle w:val="VerbatimChar"/>
        </w:rPr>
        <w:t>- Duygusal zorlanmalar, uyku yetersizliği ve duyusal aşırı yük altında artabilir.</w:t>
      </w:r>
      <w:r>
        <w:br/>
      </w:r>
      <w:r>
        <w:rPr>
          <w:rStyle w:val="VerbatimChar"/>
        </w:rPr>
        <w:t>- Duygusal regülasyon değerlendirmesi, “sıklık/şiddet/süre” eksenini ve bağlamı içermelidir.</w:t>
      </w:r>
      <w:r>
        <w:br/>
      </w:r>
      <w:r>
        <w:br/>
      </w:r>
      <w:r>
        <w:rPr>
          <w:rStyle w:val="VerbatimChar"/>
        </w:rPr>
        <w:t>Neutral report phrasing:</w:t>
      </w:r>
      <w:r>
        <w:br/>
      </w:r>
      <w:r>
        <w:rPr>
          <w:rStyle w:val="VerbatimChar"/>
        </w:rPr>
        <w:t>- “Duygusal tepkiler bazı bağlamlarda belirginleşiyor olabilir; özellikle uyku/duyusal yük ile birlikte değerlendirilmiştir.”</w:t>
      </w:r>
      <w:r>
        <w:br/>
      </w:r>
      <w:r>
        <w:br/>
      </w:r>
      <w:r>
        <w:br/>
      </w:r>
      <w:r>
        <w:rPr>
          <w:rStyle w:val="VerbatimChar"/>
        </w:rPr>
        <w:t>SECTION 5 — BİLİŞSEL REGÜLASYON (dikkat, planlama, problem çözme, görevde kalma)</w:t>
      </w:r>
      <w:r>
        <w:br/>
      </w:r>
      <w:r>
        <w:br/>
      </w:r>
      <w:r>
        <w:rPr>
          <w:rStyle w:val="VerbatimChar"/>
        </w:rPr>
        <w:t>COGNITIVE_REG_LOW</w:t>
      </w:r>
      <w:r>
        <w:br/>
      </w:r>
      <w:r>
        <w:rPr>
          <w:rStyle w:val="VerbatimChar"/>
        </w:rPr>
        <w:t>Clinical meaning:</w:t>
      </w:r>
      <w:r>
        <w:br/>
      </w:r>
      <w:r>
        <w:rPr>
          <w:rStyle w:val="VerbatimChar"/>
        </w:rPr>
        <w:t>- Daha düşük bilişsel regülasyon, dikkati sürdürme, göreve başlama-devam ettirme ve basit planlama gerektiren durumlarda zorlanma olasılığını düşündürür.</w:t>
      </w:r>
      <w:r>
        <w:br/>
      </w:r>
      <w:r>
        <w:rPr>
          <w:rStyle w:val="VerbatimChar"/>
        </w:rPr>
        <w:t>- Bilişsel regülasyon, okul öncesi dönemde okul olgunluğu ve öğrenmeye katılımla ilişkili görülen öz-düzenleme bileşenlerinin parçasıdır.</w:t>
      </w:r>
      <w:r>
        <w:br/>
      </w:r>
      <w:r>
        <w:br/>
      </w:r>
      <w:r>
        <w:rPr>
          <w:rStyle w:val="VerbatimChar"/>
        </w:rPr>
        <w:t>Observed patterns may include:</w:t>
      </w:r>
      <w:r>
        <w:br/>
      </w:r>
      <w:r>
        <w:rPr>
          <w:rStyle w:val="VerbatimChar"/>
        </w:rPr>
        <w:t>- Çabuk dikkat dağılması, etkinlikten etkinliğe hızlı geçiş</w:t>
      </w:r>
      <w:r>
        <w:br/>
      </w:r>
      <w:r>
        <w:rPr>
          <w:rStyle w:val="VerbatimChar"/>
        </w:rPr>
        <w:t>- Başladığı işi bitirmeme / sık yarım bırakma</w:t>
      </w:r>
      <w:r>
        <w:br/>
      </w:r>
      <w:r>
        <w:rPr>
          <w:rStyle w:val="VerbatimChar"/>
        </w:rPr>
        <w:t>- Çok adımlı yönergeyi takipte zorlanma</w:t>
      </w:r>
      <w:r>
        <w:br/>
      </w:r>
      <w:r>
        <w:rPr>
          <w:rStyle w:val="VerbatimChar"/>
        </w:rPr>
        <w:t>- Problem çözmede çabuk vazgeçme (duygusal regülasyonla etkileşebilir)</w:t>
      </w:r>
      <w:r>
        <w:br/>
      </w:r>
      <w:r>
        <w:br/>
      </w:r>
      <w:r>
        <w:rPr>
          <w:rStyle w:val="VerbatimChar"/>
        </w:rPr>
        <w:t>Neutral report phrasing:</w:t>
      </w:r>
      <w:r>
        <w:br/>
      </w:r>
      <w:r>
        <w:rPr>
          <w:rStyle w:val="VerbatimChar"/>
        </w:rPr>
        <w:t xml:space="preserve">- “Dikkati sürdürme ve görevde kalma becerileri bazı durumlarda yaş düzeyinin </w:t>
      </w:r>
      <w:r>
        <w:rPr>
          <w:rStyle w:val="VerbatimChar"/>
        </w:rPr>
        <w:lastRenderedPageBreak/>
        <w:t>altında görünebilir.”</w:t>
      </w:r>
      <w:r>
        <w:br/>
      </w:r>
      <w:r>
        <w:br/>
      </w:r>
      <w:r>
        <w:rPr>
          <w:rStyle w:val="VerbatimChar"/>
        </w:rPr>
        <w:t>COGNITIVE_REG_HIGH</w:t>
      </w:r>
      <w:r>
        <w:br/>
      </w:r>
      <w:r>
        <w:rPr>
          <w:rStyle w:val="VerbatimChar"/>
        </w:rPr>
        <w:t>Clinical meaning:</w:t>
      </w:r>
      <w:r>
        <w:br/>
      </w:r>
      <w:r>
        <w:rPr>
          <w:rStyle w:val="VerbatimChar"/>
        </w:rPr>
        <w:t>- Daha yüksek bilişsel regülasyon, dikkat ve görev sürekliliğinin daha stabil olduğunu; basit planlama ve problem çözmenin daha etkin olabileceğini düşündürür.</w:t>
      </w:r>
      <w:r>
        <w:br/>
      </w:r>
      <w:r>
        <w:br/>
      </w:r>
      <w:r>
        <w:rPr>
          <w:rStyle w:val="VerbatimChar"/>
        </w:rPr>
        <w:t>Neutral report phrasing:</w:t>
      </w:r>
      <w:r>
        <w:br/>
      </w:r>
      <w:r>
        <w:rPr>
          <w:rStyle w:val="VerbatimChar"/>
        </w:rPr>
        <w:t>- “Bilişsel öz-düzenleme göstergeleri yaşına uygun düzeydedir.”</w:t>
      </w:r>
      <w:r>
        <w:br/>
      </w:r>
      <w:r>
        <w:br/>
      </w:r>
      <w:r>
        <w:rPr>
          <w:rStyle w:val="VerbatimChar"/>
        </w:rPr>
        <w:t>COGNITIVE_REG_CONTEXT_CHECKS</w:t>
      </w:r>
      <w:r>
        <w:br/>
      </w:r>
      <w:r>
        <w:rPr>
          <w:rStyle w:val="VerbatimChar"/>
        </w:rPr>
        <w:t>Clinical meaning:</w:t>
      </w:r>
      <w:r>
        <w:br/>
      </w:r>
      <w:r>
        <w:rPr>
          <w:rStyle w:val="VerbatimChar"/>
        </w:rPr>
        <w:t>- Bilişsel regülasyon, uyku yetersizliği ve yüksek stres altında geçici olarak düşebilir.</w:t>
      </w:r>
      <w:r>
        <w:br/>
      </w:r>
      <w:r>
        <w:rPr>
          <w:rStyle w:val="VerbatimChar"/>
        </w:rPr>
        <w:t>- Duygusal patlamalar, bilişsel performansı ikincil olarak düşürebilir (duygu-biliş etkileşimi).</w:t>
      </w:r>
      <w:r>
        <w:br/>
      </w:r>
      <w:r>
        <w:br/>
      </w:r>
      <w:r>
        <w:rPr>
          <w:rStyle w:val="VerbatimChar"/>
        </w:rPr>
        <w:t>Neutral report phrasing:</w:t>
      </w:r>
      <w:r>
        <w:br/>
      </w:r>
      <w:r>
        <w:rPr>
          <w:rStyle w:val="VerbatimChar"/>
        </w:rPr>
        <w:t>- “Bilişsel performans, duygu durumu ve fizyolojik ritimler ile birlikte ele alınmıştır.”</w:t>
      </w:r>
      <w:r>
        <w:br/>
      </w:r>
      <w:r>
        <w:br/>
      </w:r>
      <w:r>
        <w:br/>
      </w:r>
      <w:r>
        <w:rPr>
          <w:rStyle w:val="VerbatimChar"/>
        </w:rPr>
        <w:t>SECTION 6 — YÜRÜTÜCÜ İŞLEV (inhibisyon, çalışma belleği, esneklik, kurala uyum)</w:t>
      </w:r>
      <w:r>
        <w:br/>
      </w:r>
      <w:r>
        <w:br/>
      </w:r>
      <w:r>
        <w:rPr>
          <w:rStyle w:val="VerbatimChar"/>
        </w:rPr>
        <w:t>EXEC_FUNCTION_LOW</w:t>
      </w:r>
      <w:r>
        <w:br/>
      </w:r>
      <w:r>
        <w:rPr>
          <w:rStyle w:val="VerbatimChar"/>
        </w:rPr>
        <w:t>Clinical meaning:</w:t>
      </w:r>
      <w:r>
        <w:br/>
      </w:r>
      <w:r>
        <w:rPr>
          <w:rStyle w:val="VerbatimChar"/>
        </w:rPr>
        <w:t>- Daha düşük yürütücü işlev, dürtü kontrolü (inhibisyon), çalışma belleği ve kural değiştirme/esneklik alanlarında zorlanma olasılığını düşündürür.</w:t>
      </w:r>
      <w:r>
        <w:br/>
      </w:r>
      <w:r>
        <w:rPr>
          <w:rStyle w:val="VerbatimChar"/>
        </w:rPr>
        <w:t>- Bu bileşenler, erken çocuklukta davranışsal öz-düzenleme ve okul uyumunda kritik rol oynar.</w:t>
      </w:r>
      <w:r>
        <w:br/>
      </w:r>
      <w:r>
        <w:br/>
      </w:r>
      <w:r>
        <w:rPr>
          <w:rStyle w:val="VerbatimChar"/>
        </w:rPr>
        <w:t>Observed patterns may include:</w:t>
      </w:r>
      <w:r>
        <w:br/>
      </w:r>
      <w:r>
        <w:rPr>
          <w:rStyle w:val="VerbatimChar"/>
        </w:rPr>
        <w:t>- Sırasını bekleyememe, “hemen yapma” eğilimi</w:t>
      </w:r>
      <w:r>
        <w:br/>
      </w:r>
      <w:r>
        <w:rPr>
          <w:rStyle w:val="VerbatimChar"/>
        </w:rPr>
        <w:t>- Kurallı oyunda kuralı sürdürmede zorlanma</w:t>
      </w:r>
      <w:r>
        <w:br/>
      </w:r>
      <w:r>
        <w:rPr>
          <w:rStyle w:val="VerbatimChar"/>
        </w:rPr>
        <w:t>- Yönergeyi akılda tutma güçlüğü (özellikle 2+ adım)</w:t>
      </w:r>
      <w:r>
        <w:br/>
      </w:r>
      <w:r>
        <w:rPr>
          <w:rStyle w:val="VerbatimChar"/>
        </w:rPr>
        <w:t>- Hızlı ve dürtüsel tepkiler; hayal kırıklığında kontrol kaybı</w:t>
      </w:r>
      <w:r>
        <w:br/>
      </w:r>
      <w:r>
        <w:br/>
      </w:r>
      <w:r>
        <w:rPr>
          <w:rStyle w:val="VerbatimChar"/>
        </w:rPr>
        <w:t>Neutral report phrasing:</w:t>
      </w:r>
      <w:r>
        <w:br/>
      </w:r>
      <w:r>
        <w:rPr>
          <w:rStyle w:val="VerbatimChar"/>
        </w:rPr>
        <w:t>- “Yürütücü kontrol göstergeleri, davranışı planlama ve durdurma becerilerinde zorlanma olasılığını düşündürmektedir.”</w:t>
      </w:r>
      <w:r>
        <w:br/>
      </w:r>
      <w:r>
        <w:br/>
      </w:r>
      <w:r>
        <w:rPr>
          <w:rStyle w:val="VerbatimChar"/>
        </w:rPr>
        <w:t>EXEC_FUNCTION_HIGH</w:t>
      </w:r>
      <w:r>
        <w:br/>
      </w:r>
      <w:r>
        <w:rPr>
          <w:rStyle w:val="VerbatimChar"/>
        </w:rPr>
        <w:t>Clinical meaning:</w:t>
      </w:r>
      <w:r>
        <w:br/>
      </w:r>
      <w:r>
        <w:rPr>
          <w:rStyle w:val="VerbatimChar"/>
        </w:rPr>
        <w:t>- Daha yüksek yürütücü işlev, kural takibi, inhibisyon ve esneklik alanlarında yaşa uygun kapasiteye işaret edebilir.</w:t>
      </w:r>
      <w:r>
        <w:br/>
      </w:r>
      <w:r>
        <w:br/>
      </w:r>
      <w:r>
        <w:rPr>
          <w:rStyle w:val="VerbatimChar"/>
        </w:rPr>
        <w:lastRenderedPageBreak/>
        <w:t>Neutral report phrasing:</w:t>
      </w:r>
      <w:r>
        <w:br/>
      </w:r>
      <w:r>
        <w:rPr>
          <w:rStyle w:val="VerbatimChar"/>
        </w:rPr>
        <w:t>- “Kurala uyum ve dürtü kontrolü göstergeleri yaşa uygun düzeydedir.”</w:t>
      </w:r>
      <w:r>
        <w:br/>
      </w:r>
      <w:r>
        <w:br/>
      </w:r>
      <w:r>
        <w:rPr>
          <w:rStyle w:val="VerbatimChar"/>
        </w:rPr>
        <w:t>EXEC_FUNCTION_CONTEXT_CHECKS</w:t>
      </w:r>
      <w:r>
        <w:br/>
      </w:r>
      <w:r>
        <w:rPr>
          <w:rStyle w:val="VerbatimChar"/>
        </w:rPr>
        <w:t>Clinical meaning:</w:t>
      </w:r>
      <w:r>
        <w:br/>
      </w:r>
      <w:r>
        <w:rPr>
          <w:rStyle w:val="VerbatimChar"/>
        </w:rPr>
        <w:t>- Yürütücü işlev performansı “yük” altında düşebilir: uykusuzluk, duyusal karmaşa, yüksek emosyonel uyarılma.</w:t>
      </w:r>
      <w:r>
        <w:br/>
      </w:r>
      <w:r>
        <w:rPr>
          <w:rStyle w:val="VerbatimChar"/>
        </w:rPr>
        <w:t>- Bilişsel regülasyon ile yürütücü işlev kavramsal olarak yakın alanlardır; ayrışma varsa (biri düşük biri yüksek) rapor bunu “profil asimetrisi” olarak ayrıca belirtmelidir.</w:t>
      </w:r>
      <w:r>
        <w:br/>
      </w:r>
      <w:r>
        <w:br/>
      </w:r>
      <w:r>
        <w:rPr>
          <w:rStyle w:val="VerbatimChar"/>
        </w:rPr>
        <w:t>Neutral report phrasing:</w:t>
      </w:r>
      <w:r>
        <w:br/>
      </w:r>
      <w:r>
        <w:rPr>
          <w:rStyle w:val="VerbatimChar"/>
        </w:rPr>
        <w:t>- “Yürütücü kontrol bulguları, bilişsel regülasyonla birlikte profil düzeyinde yorumlanmıştır.”</w:t>
      </w:r>
      <w:r>
        <w:br/>
      </w:r>
      <w:r>
        <w:br/>
      </w:r>
      <w:r>
        <w:br/>
      </w:r>
      <w:r>
        <w:rPr>
          <w:rStyle w:val="VerbatimChar"/>
        </w:rPr>
        <w:t>SECTION 7 — İNTEROSEPSİYON (DMIM) (beden içi sinyalleri fark etme/yorumlama)</w:t>
      </w:r>
      <w:r>
        <w:br/>
      </w:r>
      <w:r>
        <w:br/>
      </w:r>
      <w:r>
        <w:rPr>
          <w:rStyle w:val="VerbatimChar"/>
        </w:rPr>
        <w:t>INTEROCEPTION_LOW</w:t>
      </w:r>
      <w:r>
        <w:br/>
      </w:r>
      <w:r>
        <w:rPr>
          <w:rStyle w:val="VerbatimChar"/>
        </w:rPr>
        <w:t>Clinical meaning:</w:t>
      </w:r>
      <w:r>
        <w:br/>
      </w:r>
      <w:r>
        <w:rPr>
          <w:rStyle w:val="VerbatimChar"/>
        </w:rPr>
        <w:t>- Daha düşük interosepsiyon, çocuğun açlık-tokluk, tuvalet ihtiyacı, yorgunluk, kalp atımı/nefes gibi beden içi sinyalleri fark etme ve bunları davranış/dil ile düzenleme sürecinde zorlanabileceğini düşündürür.</w:t>
      </w:r>
      <w:r>
        <w:br/>
      </w:r>
      <w:r>
        <w:rPr>
          <w:rStyle w:val="VerbatimChar"/>
        </w:rPr>
        <w:t>- Interosepsiyonun duygu düzenleme ve stres süreçleriyle ilişkili olabileceğine dair okul öncesi yaş grubunda bulgular vardır; ancak ölçüm yaklaşımları farklılık gösterir (performans temelli interoseptif doğruluk vs bakımveren raporu).</w:t>
      </w:r>
      <w:r>
        <w:br/>
      </w:r>
      <w:r>
        <w:br/>
      </w:r>
      <w:r>
        <w:rPr>
          <w:rStyle w:val="VerbatimChar"/>
        </w:rPr>
        <w:t>Observed patterns may include:</w:t>
      </w:r>
      <w:r>
        <w:br/>
      </w:r>
      <w:r>
        <w:rPr>
          <w:rStyle w:val="VerbatimChar"/>
        </w:rPr>
        <w:t>- İhtiyacı “geç fark etme”: açlık/yorgunluk ancak kriz düzeyinde belirginleşir</w:t>
      </w:r>
      <w:r>
        <w:br/>
      </w:r>
      <w:r>
        <w:rPr>
          <w:rStyle w:val="VerbatimChar"/>
        </w:rPr>
        <w:t>- Tuvalet rutininde dalgalanma / ihtiyacı haber vermede gecikme</w:t>
      </w:r>
      <w:r>
        <w:br/>
      </w:r>
      <w:r>
        <w:rPr>
          <w:rStyle w:val="VerbatimChar"/>
        </w:rPr>
        <w:t>- Bedensel rahatsızlığı sözel ifade etmekte güçlük (ne olduğunu söylemeden huzursuzluk)</w:t>
      </w:r>
      <w:r>
        <w:br/>
      </w:r>
      <w:r>
        <w:rPr>
          <w:rStyle w:val="VerbatimChar"/>
        </w:rPr>
        <w:t>- Duygusal yükselmeyi “bedensel sinyaller” üzerinden fark edip yatıştırmada zorlanma olasılığı</w:t>
      </w:r>
      <w:r>
        <w:br/>
      </w:r>
      <w:r>
        <w:br/>
      </w:r>
      <w:r>
        <w:rPr>
          <w:rStyle w:val="VerbatimChar"/>
        </w:rPr>
        <w:t>Neutral report phrasing:</w:t>
      </w:r>
      <w:r>
        <w:br/>
      </w:r>
      <w:r>
        <w:rPr>
          <w:rStyle w:val="VerbatimChar"/>
        </w:rPr>
        <w:t>- “Beden içi sinyalleri fark etme ve bu sinyallerle regülasyon kurma sürecinde zorlanma olasılığı dikkate alınmalıdır.”</w:t>
      </w:r>
      <w:r>
        <w:br/>
      </w:r>
      <w:r>
        <w:br/>
      </w:r>
      <w:r>
        <w:rPr>
          <w:rStyle w:val="VerbatimChar"/>
        </w:rPr>
        <w:t>INTEROCEPTION_HIGH</w:t>
      </w:r>
      <w:r>
        <w:br/>
      </w:r>
      <w:r>
        <w:rPr>
          <w:rStyle w:val="VerbatimChar"/>
        </w:rPr>
        <w:t>Clinical meaning:</w:t>
      </w:r>
      <w:r>
        <w:br/>
      </w:r>
      <w:r>
        <w:rPr>
          <w:rStyle w:val="VerbatimChar"/>
        </w:rPr>
        <w:t>- Daha yüksek interosepsiyon, beden içi sinyalleri fark etme ve bunları uygun davranışla eşleştirme kapasitesinin yaşa uygun olabileceğini düşündürür.</w:t>
      </w:r>
      <w:r>
        <w:br/>
      </w:r>
      <w:r>
        <w:br/>
      </w:r>
      <w:r>
        <w:rPr>
          <w:rStyle w:val="VerbatimChar"/>
        </w:rPr>
        <w:t>Neutral report phrasing:</w:t>
      </w:r>
      <w:r>
        <w:br/>
      </w:r>
      <w:r>
        <w:rPr>
          <w:rStyle w:val="VerbatimChar"/>
        </w:rPr>
        <w:t>- “Beden sinyallerini fark etme ve ihtiyaç bildirme kapasitesi yaşa uygun görünmektedir.”</w:t>
      </w:r>
      <w:r>
        <w:br/>
      </w:r>
      <w:r>
        <w:lastRenderedPageBreak/>
        <w:br/>
      </w:r>
      <w:r>
        <w:rPr>
          <w:rStyle w:val="VerbatimChar"/>
        </w:rPr>
        <w:t>INTEROCEPTION_CONTEXT_CHECKS</w:t>
      </w:r>
      <w:r>
        <w:br/>
      </w:r>
      <w:r>
        <w:rPr>
          <w:rStyle w:val="VerbatimChar"/>
        </w:rPr>
        <w:t>Clinical meaning:</w:t>
      </w:r>
      <w:r>
        <w:br/>
      </w:r>
      <w:r>
        <w:rPr>
          <w:rStyle w:val="VerbatimChar"/>
        </w:rPr>
        <w:t>- İnterosepsiyon, kavramsal olarak çok boyutludur (dikkat, ayırt etme, güven, bedeni dinleme vb.). Bu nedenle tek bir toplam skorla “tek mekanizma” çıkarımı yapılmamalıdır.</w:t>
      </w:r>
      <w:r>
        <w:br/>
      </w:r>
      <w:r>
        <w:rPr>
          <w:rStyle w:val="VerbatimChar"/>
        </w:rPr>
        <w:t>- DMIM’in erken çocukluk için geliştirilmiş 36 maddelik bakımveren raporu olduğu raporlanmıştır; mevcut 10 maddelik kısaltılmış form, ayrı bir kısa-form validasyonu yapılana kadar “kavramsal yakınlık” temelli yorumlanmalıdır.</w:t>
      </w:r>
      <w:r>
        <w:br/>
      </w:r>
      <w:r>
        <w:br/>
      </w:r>
      <w:r>
        <w:rPr>
          <w:rStyle w:val="VerbatimChar"/>
        </w:rPr>
        <w:t>Neutral report phrasing:</w:t>
      </w:r>
      <w:r>
        <w:br/>
      </w:r>
      <w:r>
        <w:rPr>
          <w:rStyle w:val="VerbatimChar"/>
        </w:rPr>
        <w:t>- “İnterosepsiyon bulguları, ölçeğin kısa form niteliği ve anamnez bağlamı dikkate alınarak temkinli yorumlanmıştır.”</w:t>
      </w:r>
      <w:r>
        <w:br/>
      </w:r>
      <w:r>
        <w:br/>
      </w:r>
      <w:r>
        <w:br/>
      </w:r>
      <w:r>
        <w:rPr>
          <w:rStyle w:val="VerbatimChar"/>
        </w:rPr>
        <w:t>SECTION 8 — ÖLÇEKLER ARASI İLİŞKİLER</w:t>
      </w:r>
      <w:r>
        <w:br/>
      </w:r>
      <w:r>
        <w:br/>
      </w:r>
      <w:r>
        <w:rPr>
          <w:rStyle w:val="VerbatimChar"/>
        </w:rPr>
        <w:t>PAIR_SENSORY_LOW_EMOTIONAL_LOW</w:t>
      </w:r>
      <w:r>
        <w:br/>
      </w:r>
      <w:r>
        <w:rPr>
          <w:rStyle w:val="VerbatimChar"/>
        </w:rPr>
        <w:t>Clinical meaning:</w:t>
      </w:r>
      <w:r>
        <w:br/>
      </w:r>
      <w:r>
        <w:rPr>
          <w:rStyle w:val="VerbatimChar"/>
        </w:rPr>
        <w:t>- Duyusal regülasyon + duygusal regülasyon birlikte düşükse, çevresel uyaran yükünün duygusal yatışmayı zorlaştıran bir faktör olarak çalışması olasıdır.</w:t>
      </w:r>
      <w:r>
        <w:br/>
      </w:r>
      <w:r>
        <w:rPr>
          <w:rStyle w:val="VerbatimChar"/>
        </w:rPr>
        <w:t>- Bu örüntü, “tetikleyici ortamlar” (kalabalık, gürültü, yoğun dokunsal temas) altında daha görünür olabilir.</w:t>
      </w:r>
      <w:r>
        <w:br/>
      </w:r>
      <w:r>
        <w:br/>
      </w:r>
      <w:r>
        <w:rPr>
          <w:rStyle w:val="VerbatimChar"/>
        </w:rPr>
        <w:t>Observed patterns may include:</w:t>
      </w:r>
      <w:r>
        <w:br/>
      </w:r>
      <w:r>
        <w:rPr>
          <w:rStyle w:val="VerbatimChar"/>
        </w:rPr>
        <w:t>- Duyusal tetik sonrası hızlı duygusal yükselme</w:t>
      </w:r>
      <w:r>
        <w:br/>
      </w:r>
      <w:r>
        <w:rPr>
          <w:rStyle w:val="VerbatimChar"/>
        </w:rPr>
        <w:t>- Krizlerin belirli ortamlarda kümelenmesi</w:t>
      </w:r>
      <w:r>
        <w:br/>
      </w:r>
      <w:r>
        <w:br/>
      </w:r>
      <w:r>
        <w:rPr>
          <w:rStyle w:val="VerbatimChar"/>
        </w:rPr>
        <w:t>Neutral report phrasing:</w:t>
      </w:r>
      <w:r>
        <w:br/>
      </w:r>
      <w:r>
        <w:rPr>
          <w:rStyle w:val="VerbatimChar"/>
        </w:rPr>
        <w:t>- “Duyusal yüklenme anları duygusal tepki yönetimini zorlaştırıyor olabilir.”</w:t>
      </w:r>
      <w:r>
        <w:br/>
      </w:r>
      <w:r>
        <w:br/>
      </w:r>
      <w:r>
        <w:rPr>
          <w:rStyle w:val="VerbatimChar"/>
        </w:rPr>
        <w:t>PAIR_SENSORY_LOW_PHYSIO_LOW</w:t>
      </w:r>
      <w:r>
        <w:br/>
      </w:r>
      <w:r>
        <w:rPr>
          <w:rStyle w:val="VerbatimChar"/>
        </w:rPr>
        <w:t>Clinical meaning:</w:t>
      </w:r>
      <w:r>
        <w:br/>
      </w:r>
      <w:r>
        <w:rPr>
          <w:rStyle w:val="VerbatimChar"/>
        </w:rPr>
        <w:t>- Duyusal zorlanma ile uyku/bedensel ritim zorlanması birlikte görülebilir; okul öncesi örneklemlerde duyusal aşırı duyarlılığın uyku problemi ve irritabilite ile ilişkili olabildiği bildirilmiştir.</w:t>
      </w:r>
      <w:r>
        <w:br/>
      </w:r>
      <w:r>
        <w:rPr>
          <w:rStyle w:val="VerbatimChar"/>
        </w:rPr>
        <w:t>- Bu, nedensellik değil birlikte görülen risk örüntüsüdür.</w:t>
      </w:r>
      <w:r>
        <w:br/>
      </w:r>
      <w:r>
        <w:br/>
      </w:r>
      <w:r>
        <w:rPr>
          <w:rStyle w:val="VerbatimChar"/>
        </w:rPr>
        <w:t>Neutral report phrasing:</w:t>
      </w:r>
      <w:r>
        <w:br/>
      </w:r>
      <w:r>
        <w:rPr>
          <w:rStyle w:val="VerbatimChar"/>
        </w:rPr>
        <w:t>- “Duyusal reaktivite ile fizyolojik ritimlerin birbirini etkileyen bir yük oluşturması olasıdır.”</w:t>
      </w:r>
      <w:r>
        <w:br/>
      </w:r>
      <w:r>
        <w:br/>
      </w:r>
      <w:r>
        <w:rPr>
          <w:rStyle w:val="VerbatimChar"/>
        </w:rPr>
        <w:t>PAIR_PHYSIO_LOW_EMOTIONAL_LOW</w:t>
      </w:r>
      <w:r>
        <w:br/>
      </w:r>
      <w:r>
        <w:rPr>
          <w:rStyle w:val="VerbatimChar"/>
        </w:rPr>
        <w:t>Clinical meaning:</w:t>
      </w:r>
      <w:r>
        <w:br/>
      </w:r>
      <w:r>
        <w:rPr>
          <w:rStyle w:val="VerbatimChar"/>
        </w:rPr>
        <w:t>- Uyku/enerji düzensizliği, duygusal eşik ve tahammül düzeyini düşürebilir; küçük yaşlarda akut uyku kısıtının olumsuz duygu tepkisini artırabildiğine dair deneysel bulgular vardır.</w:t>
      </w:r>
      <w:r>
        <w:br/>
      </w:r>
      <w:r>
        <w:br/>
      </w:r>
      <w:r>
        <w:rPr>
          <w:rStyle w:val="VerbatimChar"/>
        </w:rPr>
        <w:lastRenderedPageBreak/>
        <w:t>Neutral report phrasing:</w:t>
      </w:r>
      <w:r>
        <w:br/>
      </w:r>
      <w:r>
        <w:rPr>
          <w:rStyle w:val="VerbatimChar"/>
        </w:rPr>
        <w:t>- “Fizyolojik yorgunluk/uyku sorunları duygusal regülasyonu ikincil olarak zorlaştırıyor olabilir.”</w:t>
      </w:r>
      <w:r>
        <w:br/>
      </w:r>
      <w:r>
        <w:br/>
      </w:r>
      <w:r>
        <w:rPr>
          <w:rStyle w:val="VerbatimChar"/>
        </w:rPr>
        <w:t>PAIR_EXEC_LOW_EMOTIONAL_LOW</w:t>
      </w:r>
      <w:r>
        <w:br/>
      </w:r>
      <w:r>
        <w:rPr>
          <w:rStyle w:val="VerbatimChar"/>
        </w:rPr>
        <w:t>Clinical meaning:</w:t>
      </w:r>
      <w:r>
        <w:br/>
      </w:r>
      <w:r>
        <w:rPr>
          <w:rStyle w:val="VerbatimChar"/>
        </w:rPr>
        <w:t>- Yürütücü işlev zayıflığı (inhibisyon/çalışma belleği/esneklik) ile duygusal regülasyon zayıflığı birlikteyse, engellenme anlarında davranışı “durup yeniden düzenleme” kapasitesi düşebilir.</w:t>
      </w:r>
      <w:r>
        <w:br/>
      </w:r>
      <w:r>
        <w:rPr>
          <w:rStyle w:val="VerbatimChar"/>
        </w:rPr>
        <w:t>- Bu örüntü, küçük çocuklarda davranışsal öz-düzenleme ölçümleri ve okul uyumu literatürüyle uyumlu bir mekanizma önerir.</w:t>
      </w:r>
      <w:r>
        <w:br/>
      </w:r>
      <w:r>
        <w:br/>
      </w:r>
      <w:r>
        <w:rPr>
          <w:rStyle w:val="VerbatimChar"/>
        </w:rPr>
        <w:t>Neutral report phrasing:</w:t>
      </w:r>
      <w:r>
        <w:br/>
      </w:r>
      <w:r>
        <w:rPr>
          <w:rStyle w:val="VerbatimChar"/>
        </w:rPr>
        <w:t>- “Dürtü kontrolü ve duygusal yatışma birlikte zorlanıyorsa, regülasyon zorlanması daha bütüncül görünebilir.”</w:t>
      </w:r>
      <w:r>
        <w:br/>
      </w:r>
      <w:r>
        <w:br/>
      </w:r>
      <w:r>
        <w:rPr>
          <w:rStyle w:val="VerbatimChar"/>
        </w:rPr>
        <w:t>PAIR_COG_LOW_EXEC_LOW</w:t>
      </w:r>
      <w:r>
        <w:br/>
      </w:r>
      <w:r>
        <w:rPr>
          <w:rStyle w:val="VerbatimChar"/>
        </w:rPr>
        <w:t>Clinical meaning:</w:t>
      </w:r>
      <w:r>
        <w:br/>
      </w:r>
      <w:r>
        <w:rPr>
          <w:rStyle w:val="VerbatimChar"/>
        </w:rPr>
        <w:t>- Bilişsel regülasyon + yürütücü işlev birlikte düşükse, dikkat/planlama ve inhibisyon süreçlerinde genel bir öz-düzenleme yükü olasılığı artar (profil daha ‘global’ görünür).</w:t>
      </w:r>
      <w:r>
        <w:br/>
      </w:r>
      <w:r>
        <w:rPr>
          <w:rStyle w:val="VerbatimChar"/>
        </w:rPr>
        <w:t>- Ayrışma varsa (biri düşük biri yüksek), profil “asimetri” olarak ele alınmalı; rapor, güçlü alanın telafi olasılığını yalnız “olası” diye not etmelidir.</w:t>
      </w:r>
      <w:r>
        <w:br/>
      </w:r>
      <w:r>
        <w:br/>
      </w:r>
      <w:r>
        <w:rPr>
          <w:rStyle w:val="VerbatimChar"/>
        </w:rPr>
        <w:t>Neutral report phrasing:</w:t>
      </w:r>
      <w:r>
        <w:br/>
      </w:r>
      <w:r>
        <w:rPr>
          <w:rStyle w:val="VerbatimChar"/>
        </w:rPr>
        <w:t>- “Bilişsel/yürütücü göstergeler birlikte düşük olduğunda, dikkat ve davranış kontrolünde daha geniş kapsamlı zorlanma olasılığı artabilir.”</w:t>
      </w:r>
      <w:r>
        <w:br/>
      </w:r>
      <w:r>
        <w:br/>
      </w:r>
      <w:r>
        <w:rPr>
          <w:rStyle w:val="VerbatimChar"/>
        </w:rPr>
        <w:t>PAIR_INTERO_LOW_EMOTIONAL_LOW</w:t>
      </w:r>
      <w:r>
        <w:br/>
      </w:r>
      <w:r>
        <w:rPr>
          <w:rStyle w:val="VerbatimChar"/>
        </w:rPr>
        <w:t>Clinical meaning:</w:t>
      </w:r>
      <w:r>
        <w:br/>
      </w:r>
      <w:r>
        <w:rPr>
          <w:rStyle w:val="VerbatimChar"/>
        </w:rPr>
        <w:t>- Okul öncesi dönemde interoseptif doğruluk ile duygu regülasyon kapasitesi arasında pozitif ilişki bildirilen çalışmalar vardır; ayrıca interosepsiyon kavramsal olarak duyguların bedensel bileşenlerini izleme ile bağlantılıdır.</w:t>
      </w:r>
      <w:r>
        <w:br/>
      </w:r>
      <w:r>
        <w:rPr>
          <w:rStyle w:val="VerbatimChar"/>
        </w:rPr>
        <w:t>- Bu ilişki, özellikle stres altında (yüksek fizyolojik uyarılma) daha belirgin olabilir.</w:t>
      </w:r>
      <w:r>
        <w:br/>
      </w:r>
      <w:r>
        <w:br/>
      </w:r>
      <w:r>
        <w:rPr>
          <w:rStyle w:val="VerbatimChar"/>
        </w:rPr>
        <w:t>Neutral report phrasing:</w:t>
      </w:r>
      <w:r>
        <w:br/>
      </w:r>
      <w:r>
        <w:rPr>
          <w:rStyle w:val="VerbatimChar"/>
        </w:rPr>
        <w:t>- “Beden sinyallerini okumadaki güçlük, duygusal yükselmeyi erken fark edip yatıştırmayı zorlaştırabilir.”</w:t>
      </w:r>
      <w:r>
        <w:br/>
      </w:r>
      <w:r>
        <w:br/>
      </w:r>
      <w:r>
        <w:rPr>
          <w:rStyle w:val="VerbatimChar"/>
        </w:rPr>
        <w:t>PAIR_INTERO_LOW_PHYSIO_LOW</w:t>
      </w:r>
      <w:r>
        <w:br/>
      </w:r>
      <w:r>
        <w:rPr>
          <w:rStyle w:val="VerbatimChar"/>
        </w:rPr>
        <w:t>Clinical meaning:</w:t>
      </w:r>
      <w:r>
        <w:br/>
      </w:r>
      <w:r>
        <w:rPr>
          <w:rStyle w:val="VerbatimChar"/>
        </w:rPr>
        <w:t>- İnterosepsiyon düşük + fizyolojik regülasyon düşükse, iç sinyalleri izleme (açlık, tuvalet, yorgunluk) ve buna uygun rutin kurma süreçleri birlikte kırılgan olabilir.</w:t>
      </w:r>
      <w:r>
        <w:br/>
      </w:r>
      <w:r>
        <w:br/>
      </w:r>
      <w:r>
        <w:rPr>
          <w:rStyle w:val="VerbatimChar"/>
        </w:rPr>
        <w:t>Neutral report phrasing:</w:t>
      </w:r>
      <w:r>
        <w:br/>
      </w:r>
      <w:r>
        <w:rPr>
          <w:rStyle w:val="VerbatimChar"/>
        </w:rPr>
        <w:t xml:space="preserve">- “İçsel sinyalleri fark etme ve temel ritimleri düzenleme alanları birlikte </w:t>
      </w:r>
      <w:r>
        <w:rPr>
          <w:rStyle w:val="VerbatimChar"/>
        </w:rPr>
        <w:lastRenderedPageBreak/>
        <w:t>zorlanıyor olabilir.”</w:t>
      </w:r>
      <w:r>
        <w:br/>
      </w:r>
      <w:r>
        <w:br/>
      </w:r>
      <w:r>
        <w:rPr>
          <w:rStyle w:val="VerbatimChar"/>
        </w:rPr>
        <w:t>TRIPLE_SENSORY_LOW_PHYSIO_LOW_EMOTIONAL_LOW</w:t>
      </w:r>
      <w:r>
        <w:br/>
      </w:r>
      <w:r>
        <w:rPr>
          <w:rStyle w:val="VerbatimChar"/>
        </w:rPr>
        <w:t>Clinical meaning:</w:t>
      </w:r>
      <w:r>
        <w:br/>
      </w:r>
      <w:r>
        <w:rPr>
          <w:rStyle w:val="VerbatimChar"/>
        </w:rPr>
        <w:t>- Duyusal + fizyolojik + duygusal alanlarda düşük skorlar birlikteyse, çocuğun regülasyon yükü çok boyutlu olabilir: uyaran toleransı + beden ritmi + duygusal yatışma aynı anda zorlanır.</w:t>
      </w:r>
      <w:r>
        <w:br/>
      </w:r>
      <w:r>
        <w:rPr>
          <w:rStyle w:val="VerbatimChar"/>
        </w:rPr>
        <w:t>- Rapor dili tanısal olmamalı; “geniş spektrumlu regülasyon zorluğu olasılığı” şeklinde yazılmalıdır.</w:t>
      </w:r>
      <w:r>
        <w:br/>
      </w:r>
      <w:r>
        <w:br/>
      </w:r>
      <w:r>
        <w:rPr>
          <w:rStyle w:val="VerbatimChar"/>
        </w:rPr>
        <w:t>Neutral report phrasing:</w:t>
      </w:r>
      <w:r>
        <w:br/>
      </w:r>
      <w:r>
        <w:rPr>
          <w:rStyle w:val="VerbatimChar"/>
        </w:rPr>
        <w:t>- “Birden fazla regülasyon alanında zorlanma birlikteliği, günlük yaşamda yükün daha geniş kapsamlı hissedilebileceğini düşündürür.”</w:t>
      </w:r>
      <w:r>
        <w:br/>
      </w:r>
      <w:r>
        <w:br/>
      </w:r>
      <w:r>
        <w:rPr>
          <w:rStyle w:val="VerbatimChar"/>
        </w:rPr>
        <w:t>TRIPLE_EXEC_LOW_COG_LOW_EMOTIONAL_LOW</w:t>
      </w:r>
      <w:r>
        <w:br/>
      </w:r>
      <w:r>
        <w:rPr>
          <w:rStyle w:val="VerbatimChar"/>
        </w:rPr>
        <w:t>Clinical meaning:</w:t>
      </w:r>
      <w:r>
        <w:br/>
      </w:r>
      <w:r>
        <w:rPr>
          <w:rStyle w:val="VerbatimChar"/>
        </w:rPr>
        <w:t>- Yürütücü + bilişsel + duygusal zorluk birlikteyse, “dur-düşün-seç” kapasitesinin hem bilişsel hem duygusal bileşeni zorlanıyor olabilir; bu da özellikle kural, geçiş ve engellenme anlarında belirginleşebilir.</w:t>
      </w:r>
      <w:r>
        <w:br/>
      </w:r>
      <w:r>
        <w:br/>
      </w:r>
      <w:r>
        <w:rPr>
          <w:rStyle w:val="VerbatimChar"/>
        </w:rPr>
        <w:t>Neutral report phrasing:</w:t>
      </w:r>
      <w:r>
        <w:br/>
      </w:r>
      <w:r>
        <w:rPr>
          <w:rStyle w:val="VerbatimChar"/>
        </w:rPr>
        <w:t>- “Dikkat/dürtü kontrolü ve duygu yönetimi birlikte zorlanıyorsa, bazı durumlarda davranışın hızlı yükselmesi beklenebilir.”</w:t>
      </w:r>
      <w:r>
        <w:br/>
      </w:r>
      <w:r>
        <w:br/>
      </w:r>
      <w:r>
        <w:br/>
      </w:r>
      <w:r>
        <w:rPr>
          <w:rStyle w:val="VerbatimChar"/>
        </w:rPr>
        <w:t>SECTION 9 — RİSK PROFİLİ ÇIKARIMI</w:t>
      </w:r>
      <w:r>
        <w:br/>
      </w:r>
      <w:r>
        <w:br/>
      </w:r>
      <w:r>
        <w:rPr>
          <w:rStyle w:val="VerbatimChar"/>
        </w:rPr>
        <w:t>RISK_PROFILE_HEURISTIC_NOTE</w:t>
      </w:r>
      <w:r>
        <w:br/>
      </w:r>
      <w:r>
        <w:rPr>
          <w:rStyle w:val="VerbatimChar"/>
        </w:rPr>
        <w:t>Clinical meaning:</w:t>
      </w:r>
      <w:r>
        <w:br/>
      </w:r>
      <w:r>
        <w:rPr>
          <w:rStyle w:val="VerbatimChar"/>
        </w:rPr>
        <w:t>- Risk profili çıkarımı, norm/cut-off olmadan “heuristic” (kural tabanlı klinik örüntü) düzeyindedir.</w:t>
      </w:r>
      <w:r>
        <w:br/>
      </w:r>
      <w:r>
        <w:rPr>
          <w:rStyle w:val="VerbatimChar"/>
        </w:rPr>
        <w:t>- Bu bölüm, tanı değil; “çoklu alanda zorlanma yoğunluğu” için işlevsel bir özet üretir.</w:t>
      </w:r>
      <w:r>
        <w:br/>
      </w:r>
      <w:r>
        <w:br/>
      </w:r>
      <w:r>
        <w:rPr>
          <w:rStyle w:val="VerbatimChar"/>
        </w:rPr>
        <w:t>Neutral report phrasing:</w:t>
      </w:r>
      <w:r>
        <w:br/>
      </w:r>
      <w:r>
        <w:rPr>
          <w:rStyle w:val="VerbatimChar"/>
        </w:rPr>
        <w:t>- “Aşağıdaki risk profili, klinik örüntü düzeyinde özet amaçlıdır.”</w:t>
      </w:r>
      <w:r>
        <w:br/>
      </w:r>
      <w:r>
        <w:br/>
      </w:r>
      <w:r>
        <w:rPr>
          <w:rStyle w:val="VerbatimChar"/>
        </w:rPr>
        <w:t>RISK_PROFILE_SINGLE_DOMAIN</w:t>
      </w:r>
      <w:r>
        <w:br/>
      </w:r>
      <w:r>
        <w:rPr>
          <w:rStyle w:val="VerbatimChar"/>
        </w:rPr>
        <w:t>Clinical meaning:</w:t>
      </w:r>
      <w:r>
        <w:br/>
      </w:r>
      <w:r>
        <w:rPr>
          <w:rStyle w:val="VerbatimChar"/>
        </w:rPr>
        <w:t>- Yalnız 1 alanda belirgin düşük skor: seçici bir regülasyon zorlanması olasılığı.</w:t>
      </w:r>
      <w:r>
        <w:br/>
      </w:r>
      <w:r>
        <w:rPr>
          <w:rStyle w:val="VerbatimChar"/>
        </w:rPr>
        <w:t>- Bu tür profilde rapor, güçlü alanları açıkça belirtip zorlanmanın “bağlama özgü” olma ihtimaline dikkat çekmelidir.</w:t>
      </w:r>
      <w:r>
        <w:br/>
      </w:r>
      <w:r>
        <w:br/>
      </w:r>
      <w:r>
        <w:rPr>
          <w:rStyle w:val="VerbatimChar"/>
        </w:rPr>
        <w:t>Neutral report phrasing:</w:t>
      </w:r>
      <w:r>
        <w:br/>
      </w:r>
      <w:r>
        <w:rPr>
          <w:rStyle w:val="VerbatimChar"/>
        </w:rPr>
        <w:t>- “Bulgular daha çok tek bir regülasyon alanında yoğunlaşmaktadır.”</w:t>
      </w:r>
      <w:r>
        <w:br/>
      </w:r>
      <w:r>
        <w:br/>
      </w:r>
      <w:r>
        <w:rPr>
          <w:rStyle w:val="VerbatimChar"/>
        </w:rPr>
        <w:t>RISK_PROFILE_TWO_DOMAINS</w:t>
      </w:r>
      <w:r>
        <w:br/>
      </w:r>
      <w:r>
        <w:rPr>
          <w:rStyle w:val="VerbatimChar"/>
        </w:rPr>
        <w:lastRenderedPageBreak/>
        <w:t>Clinical meaning:</w:t>
      </w:r>
      <w:r>
        <w:br/>
      </w:r>
      <w:r>
        <w:rPr>
          <w:rStyle w:val="VerbatimChar"/>
        </w:rPr>
        <w:t>- 2 alanda belirgin düşük skor: ilişkili iki sistemin (örn. duyusal-duygusal veya bilişsel-yürütücü) birlikte zorlanma örüntüsü olasılığı.</w:t>
      </w:r>
      <w:r>
        <w:br/>
      </w:r>
      <w:r>
        <w:br/>
      </w:r>
      <w:r>
        <w:rPr>
          <w:rStyle w:val="VerbatimChar"/>
        </w:rPr>
        <w:t>Neutral report phrasing:</w:t>
      </w:r>
      <w:r>
        <w:br/>
      </w:r>
      <w:r>
        <w:rPr>
          <w:rStyle w:val="VerbatimChar"/>
        </w:rPr>
        <w:t>- “İki regülasyon alanında eş zamanlı zorlanma örüntüsü izlenmektedir.”</w:t>
      </w:r>
      <w:r>
        <w:br/>
      </w:r>
      <w:r>
        <w:br/>
      </w:r>
      <w:r>
        <w:rPr>
          <w:rStyle w:val="VerbatimChar"/>
        </w:rPr>
        <w:t>RISK_PROFILE_THREE_OR_MORE_DOMAINS</w:t>
      </w:r>
      <w:r>
        <w:br/>
      </w:r>
      <w:r>
        <w:rPr>
          <w:rStyle w:val="VerbatimChar"/>
        </w:rPr>
        <w:t>Clinical meaning:</w:t>
      </w:r>
      <w:r>
        <w:br/>
      </w:r>
      <w:r>
        <w:rPr>
          <w:rStyle w:val="VerbatimChar"/>
        </w:rPr>
        <w:t>- 3+ alanda belirgin düşük skor: çok boyutlu regülasyon yükü olasılığını artırır.</w:t>
      </w:r>
      <w:r>
        <w:br/>
      </w:r>
      <w:r>
        <w:rPr>
          <w:rStyle w:val="VerbatimChar"/>
        </w:rPr>
        <w:t>- Bu örüntüde rapor, “geniş kapsam” vurgusunu tanısal dile kaymadan yapmalı ve anamnez bağlamını özellikle öne çıkarmalıdır.</w:t>
      </w:r>
      <w:r>
        <w:br/>
      </w:r>
      <w:r>
        <w:br/>
      </w:r>
      <w:r>
        <w:rPr>
          <w:rStyle w:val="VerbatimChar"/>
        </w:rPr>
        <w:t>Neutral report phrasing:</w:t>
      </w:r>
      <w:r>
        <w:br/>
      </w:r>
      <w:r>
        <w:rPr>
          <w:rStyle w:val="VerbatimChar"/>
        </w:rPr>
        <w:t>- “Birden fazla regülasyon alanında zorlanma birlikteliği, günlük işlevsellikte daha yaygın etkiler doğurabilir.”</w:t>
      </w:r>
      <w:r>
        <w:br/>
      </w:r>
      <w:r>
        <w:br/>
      </w:r>
      <w:r>
        <w:rPr>
          <w:rStyle w:val="VerbatimChar"/>
        </w:rPr>
        <w:t>RISK_PROFILE_ASYMMETRIC</w:t>
      </w:r>
      <w:r>
        <w:br/>
      </w:r>
      <w:r>
        <w:rPr>
          <w:rStyle w:val="VerbatimChar"/>
        </w:rPr>
        <w:t>Clinical meaning:</w:t>
      </w:r>
      <w:r>
        <w:br/>
      </w:r>
      <w:r>
        <w:rPr>
          <w:rStyle w:val="VerbatimChar"/>
        </w:rPr>
        <w:t>- Bir alanda çok düşük, diğerlerinde belirgin güçlü skorlar: asimetrik profil.</w:t>
      </w:r>
      <w:r>
        <w:br/>
      </w:r>
      <w:r>
        <w:rPr>
          <w:rStyle w:val="VerbatimChar"/>
        </w:rPr>
        <w:t>- Bu durumda rapor iki şeyi aynı anda yapmalı: (1) güçlü alanları koruyucu kaynak olarak belirtmek, (2) tek alandaki zorlanmanın bazı ortamlarda baskın sorun haline gelebileceğini not etmek.</w:t>
      </w:r>
      <w:r>
        <w:br/>
      </w:r>
      <w:r>
        <w:br/>
      </w:r>
      <w:r>
        <w:rPr>
          <w:rStyle w:val="VerbatimChar"/>
        </w:rPr>
        <w:t>Neutral report phrasing:</w:t>
      </w:r>
      <w:r>
        <w:br/>
      </w:r>
      <w:r>
        <w:rPr>
          <w:rStyle w:val="VerbatimChar"/>
        </w:rPr>
        <w:t>- “Profil asimetriktir: bazı alanlarda güçlü görünüm varken, belirli bir alanda belirgin zorlanma izlenmektedir.”</w:t>
      </w:r>
      <w:r>
        <w:br/>
      </w:r>
      <w:r>
        <w:br/>
      </w:r>
      <w:r>
        <w:rPr>
          <w:rStyle w:val="VerbatimChar"/>
        </w:rPr>
        <w:t>RISK_PROFILE_INCONSISTENT_CONTEXT</w:t>
      </w:r>
      <w:r>
        <w:br/>
      </w:r>
      <w:r>
        <w:rPr>
          <w:rStyle w:val="VerbatimChar"/>
        </w:rPr>
        <w:t>Clinical meaning:</w:t>
      </w:r>
      <w:r>
        <w:br/>
      </w:r>
      <w:r>
        <w:rPr>
          <w:rStyle w:val="VerbatimChar"/>
        </w:rPr>
        <w:t>- Aile “sadece belirli ortamlarda” sorun bildiriyorsa, skorlar “durumsal regülasyon” olarak yorumlanmalıdır (ör. kreşte belirgin, evde değil).</w:t>
      </w:r>
      <w:r>
        <w:br/>
      </w:r>
      <w:r>
        <w:rPr>
          <w:rStyle w:val="VerbatimChar"/>
        </w:rPr>
        <w:t>- Bu, regülasyonun ko-regülasyon ve çevresel yapı ile etkileşimini vurgulayan bir yorum çerçevesidir.</w:t>
      </w:r>
      <w:r>
        <w:br/>
      </w:r>
      <w:r>
        <w:br/>
      </w:r>
      <w:r>
        <w:rPr>
          <w:rStyle w:val="VerbatimChar"/>
        </w:rPr>
        <w:t>Neutral report phrasing:</w:t>
      </w:r>
      <w:r>
        <w:br/>
      </w:r>
      <w:r>
        <w:rPr>
          <w:rStyle w:val="VerbatimChar"/>
        </w:rPr>
        <w:t>- “Zorlanmaların belirli bağlamlarda yoğunlaşması, çevresel talep düzeyinin belirleyici olabileceğini düşündürmektedir.”</w:t>
      </w:r>
      <w:r>
        <w:br/>
      </w:r>
      <w:r>
        <w:br/>
      </w:r>
      <w:r>
        <w:br/>
      </w:r>
      <w:r>
        <w:rPr>
          <w:rStyle w:val="VerbatimChar"/>
        </w:rPr>
        <w:t>SECTION 10 — ANAMNEZ ENTEGRASYONU</w:t>
      </w:r>
      <w:r>
        <w:br/>
      </w:r>
      <w:r>
        <w:br/>
      </w:r>
      <w:r>
        <w:rPr>
          <w:rStyle w:val="VerbatimChar"/>
        </w:rPr>
        <w:t>ANAMNESIS_SLEEP_LINK</w:t>
      </w:r>
      <w:r>
        <w:br/>
      </w:r>
      <w:r>
        <w:rPr>
          <w:rStyle w:val="VerbatimChar"/>
        </w:rPr>
        <w:t>If anamnesis includes:</w:t>
      </w:r>
      <w:r>
        <w:br/>
      </w:r>
      <w:r>
        <w:rPr>
          <w:rStyle w:val="VerbatimChar"/>
        </w:rPr>
        <w:t>- uykuya dalma güçlüğü, sık uyanma, sabah yorgunluğu, düzensiz uyku rutini</w:t>
      </w:r>
      <w:r>
        <w:br/>
      </w:r>
      <w:r>
        <w:br/>
      </w:r>
      <w:r>
        <w:rPr>
          <w:rStyle w:val="VerbatimChar"/>
        </w:rPr>
        <w:lastRenderedPageBreak/>
        <w:t>Then interpretation focus:</w:t>
      </w:r>
      <w:r>
        <w:br/>
      </w:r>
      <w:r>
        <w:rPr>
          <w:rStyle w:val="VerbatimChar"/>
        </w:rPr>
        <w:t>- Fizyolojik regülasyon yorumunda “zemin değişken” vurgusu</w:t>
      </w:r>
      <w:r>
        <w:br/>
      </w:r>
      <w:r>
        <w:rPr>
          <w:rStyle w:val="VerbatimChar"/>
        </w:rPr>
        <w:t>- Duygusal/bilişsel alanlarda ikincil zorlanma olasılığı</w:t>
      </w:r>
      <w:r>
        <w:br/>
      </w:r>
      <w:r>
        <w:br/>
      </w:r>
      <w:r>
        <w:rPr>
          <w:rStyle w:val="VerbatimChar"/>
        </w:rPr>
        <w:t>Neutral report phrasing:</w:t>
      </w:r>
      <w:r>
        <w:br/>
      </w:r>
      <w:r>
        <w:rPr>
          <w:rStyle w:val="VerbatimChar"/>
        </w:rPr>
        <w:t>- “Uyku düzenindeki güçlükler, gün içi regülasyon kapasitesini ikincil olarak zorlaştırıyor olabilir.”</w:t>
      </w:r>
      <w:r>
        <w:br/>
      </w:r>
      <w:r>
        <w:br/>
      </w:r>
      <w:r>
        <w:rPr>
          <w:rStyle w:val="VerbatimChar"/>
        </w:rPr>
        <w:t>ANAMNESIS_FEEDING_GI_LINK</w:t>
      </w:r>
      <w:r>
        <w:br/>
      </w:r>
      <w:r>
        <w:rPr>
          <w:rStyle w:val="VerbatimChar"/>
        </w:rPr>
        <w:t>If anamnesis includes:</w:t>
      </w:r>
      <w:r>
        <w:br/>
      </w:r>
      <w:r>
        <w:rPr>
          <w:rStyle w:val="VerbatimChar"/>
        </w:rPr>
        <w:t>- seçici yeme, iştah dalgalanması, gastro-intestinal hassasiyet</w:t>
      </w:r>
      <w:r>
        <w:br/>
      </w:r>
      <w:r>
        <w:br/>
      </w:r>
      <w:r>
        <w:rPr>
          <w:rStyle w:val="VerbatimChar"/>
        </w:rPr>
        <w:t>Then interpretation focus:</w:t>
      </w:r>
      <w:r>
        <w:br/>
      </w:r>
      <w:r>
        <w:rPr>
          <w:rStyle w:val="VerbatimChar"/>
        </w:rPr>
        <w:t>- Fizyolojik regülasyon ve interosepsiyon yorumunda “iç sinyal–davranış eşleştirme” vurgusu</w:t>
      </w:r>
      <w:r>
        <w:br/>
      </w:r>
      <w:r>
        <w:br/>
      </w:r>
      <w:r>
        <w:rPr>
          <w:rStyle w:val="VerbatimChar"/>
        </w:rPr>
        <w:t>Neutral report phrasing:</w:t>
      </w:r>
      <w:r>
        <w:br/>
      </w:r>
      <w:r>
        <w:rPr>
          <w:rStyle w:val="VerbatimChar"/>
        </w:rPr>
        <w:t>- “Beslenme rutinindeki özellikler, beden sinyallerini fark etme ve düzenleme süreciyle birlikte ele alınmıştır.”</w:t>
      </w:r>
      <w:r>
        <w:br/>
      </w:r>
      <w:r>
        <w:br/>
      </w:r>
      <w:r>
        <w:rPr>
          <w:rStyle w:val="VerbatimChar"/>
        </w:rPr>
        <w:t>ANAMNESIS_TOILETING_LINK</w:t>
      </w:r>
      <w:r>
        <w:br/>
      </w:r>
      <w:r>
        <w:rPr>
          <w:rStyle w:val="VerbatimChar"/>
        </w:rPr>
        <w:t>If anamnesis includes:</w:t>
      </w:r>
      <w:r>
        <w:br/>
      </w:r>
      <w:r>
        <w:rPr>
          <w:rStyle w:val="VerbatimChar"/>
        </w:rPr>
        <w:t>- tuvalet kazaları, tuvalet ihtiyacını geç fark etme, tuvalet eğitiminde gecikme</w:t>
      </w:r>
      <w:r>
        <w:br/>
      </w:r>
      <w:r>
        <w:br/>
      </w:r>
      <w:r>
        <w:rPr>
          <w:rStyle w:val="VerbatimChar"/>
        </w:rPr>
        <w:t>Then interpretation focus:</w:t>
      </w:r>
      <w:r>
        <w:br/>
      </w:r>
      <w:r>
        <w:rPr>
          <w:rStyle w:val="VerbatimChar"/>
        </w:rPr>
        <w:t>- İnterosepsiyon + fizyolojik regülasyon yorumunda iç sinyal farkındalığı</w:t>
      </w:r>
      <w:r>
        <w:br/>
      </w:r>
      <w:r>
        <w:rPr>
          <w:rStyle w:val="VerbatimChar"/>
        </w:rPr>
        <w:t>- Duygusal regülasyonda ‘kriz düzeyinde fark etme’ olasılığı</w:t>
      </w:r>
      <w:r>
        <w:br/>
      </w:r>
      <w:r>
        <w:br/>
      </w:r>
      <w:r>
        <w:rPr>
          <w:rStyle w:val="VerbatimChar"/>
        </w:rPr>
        <w:t>Neutral report phrasing:</w:t>
      </w:r>
      <w:r>
        <w:br/>
      </w:r>
      <w:r>
        <w:rPr>
          <w:rStyle w:val="VerbatimChar"/>
        </w:rPr>
        <w:t>- “Tuvalet rutiniyle ilgili bilgiler, içsel sinyal farkındalığı ile ilişkili olabilecek bir örüntü sunmaktadır.”</w:t>
      </w:r>
      <w:r>
        <w:br/>
      </w:r>
      <w:r>
        <w:br/>
      </w:r>
      <w:r>
        <w:rPr>
          <w:rStyle w:val="VerbatimChar"/>
        </w:rPr>
        <w:t>ANAMNESIS_SENSORY_TRIGGERS_LINK</w:t>
      </w:r>
      <w:r>
        <w:br/>
      </w:r>
      <w:r>
        <w:rPr>
          <w:rStyle w:val="VerbatimChar"/>
        </w:rPr>
        <w:t>If anamnesis includes:</w:t>
      </w:r>
      <w:r>
        <w:br/>
      </w:r>
      <w:r>
        <w:rPr>
          <w:rStyle w:val="VerbatimChar"/>
        </w:rPr>
        <w:t>- kalabalık-gürültü, saç yıkama, kıyafet etiketi, belirli dokular, kokular, ışık</w:t>
      </w:r>
      <w:r>
        <w:br/>
      </w:r>
      <w:r>
        <w:br/>
      </w:r>
      <w:r>
        <w:rPr>
          <w:rStyle w:val="VerbatimChar"/>
        </w:rPr>
        <w:t>Then interpretation focus:</w:t>
      </w:r>
      <w:r>
        <w:br/>
      </w:r>
      <w:r>
        <w:rPr>
          <w:rStyle w:val="VerbatimChar"/>
        </w:rPr>
        <w:t>- Duyusal regülasyon yorumunda “tetikleyici haritası”</w:t>
      </w:r>
      <w:r>
        <w:br/>
      </w:r>
      <w:r>
        <w:rPr>
          <w:rStyle w:val="VerbatimChar"/>
        </w:rPr>
        <w:t>- Çoklu ölçek analizinde duyusal tetik → duygusal yükselme olasılığı</w:t>
      </w:r>
      <w:r>
        <w:br/>
      </w:r>
      <w:r>
        <w:br/>
      </w:r>
      <w:r>
        <w:rPr>
          <w:rStyle w:val="VerbatimChar"/>
        </w:rPr>
        <w:t>Neutral report phrasing:</w:t>
      </w:r>
      <w:r>
        <w:br/>
      </w:r>
      <w:r>
        <w:rPr>
          <w:rStyle w:val="VerbatimChar"/>
        </w:rPr>
        <w:t>- “Belirli duyusal tetikleyiciler, duygusal tepki yönetimini zorlaştırıyor olabilir.”</w:t>
      </w:r>
      <w:r>
        <w:br/>
      </w:r>
      <w:r>
        <w:br/>
      </w:r>
      <w:r>
        <w:rPr>
          <w:rStyle w:val="VerbatimChar"/>
        </w:rPr>
        <w:t>ANAMNESIS_STRESS_TRANSITIONS_LINK</w:t>
      </w:r>
      <w:r>
        <w:br/>
      </w:r>
      <w:r>
        <w:rPr>
          <w:rStyle w:val="VerbatimChar"/>
        </w:rPr>
        <w:t>If anamnesis includes:</w:t>
      </w:r>
      <w:r>
        <w:br/>
      </w:r>
      <w:r>
        <w:rPr>
          <w:rStyle w:val="VerbatimChar"/>
        </w:rPr>
        <w:lastRenderedPageBreak/>
        <w:t>- taşınma, yeni kardeş, bakımveren değişimi, kreşe başlama, aile içi stres</w:t>
      </w:r>
      <w:r>
        <w:br/>
      </w:r>
      <w:r>
        <w:br/>
      </w:r>
      <w:r>
        <w:rPr>
          <w:rStyle w:val="VerbatimChar"/>
        </w:rPr>
        <w:t>Then interpretation focus:</w:t>
      </w:r>
      <w:r>
        <w:br/>
      </w:r>
      <w:r>
        <w:rPr>
          <w:rStyle w:val="VerbatimChar"/>
        </w:rPr>
        <w:t>- Regülasyon kavramı bölümünde “ko-regülasyon ve yapı” vurgusu</w:t>
      </w:r>
      <w:r>
        <w:br/>
      </w:r>
      <w:r>
        <w:rPr>
          <w:rStyle w:val="VerbatimChar"/>
        </w:rPr>
        <w:t>- Bütün ölçeklerde “durumsallık” vurgusu</w:t>
      </w:r>
      <w:r>
        <w:br/>
      </w:r>
      <w:r>
        <w:br/>
      </w:r>
      <w:r>
        <w:rPr>
          <w:rStyle w:val="VerbatimChar"/>
        </w:rPr>
        <w:t>Neutral report phrasing:</w:t>
      </w:r>
      <w:r>
        <w:br/>
      </w:r>
      <w:r>
        <w:rPr>
          <w:rStyle w:val="VerbatimChar"/>
        </w:rPr>
        <w:t>- “Yakın dönem değişiklikler, regülasyon becerilerinin ortamdan ortama farklı görünmesine katkı yapabilir.”</w:t>
      </w:r>
      <w:r>
        <w:br/>
      </w:r>
      <w:r>
        <w:br/>
      </w:r>
      <w:r>
        <w:rPr>
          <w:rStyle w:val="VerbatimChar"/>
        </w:rPr>
        <w:t>ANAMNESIS_MEDICAL_PREMATURITY_LINK</w:t>
      </w:r>
      <w:r>
        <w:br/>
      </w:r>
      <w:r>
        <w:rPr>
          <w:rStyle w:val="VerbatimChar"/>
        </w:rPr>
        <w:t>If anamnesis includes:</w:t>
      </w:r>
      <w:r>
        <w:br/>
      </w:r>
      <w:r>
        <w:rPr>
          <w:rStyle w:val="VerbatimChar"/>
        </w:rPr>
        <w:t>- prematürite, doğum komplikasyonu, yenidoğan yoğun bakım öyküsü, kronik hastalık dönemleri</w:t>
      </w:r>
      <w:r>
        <w:br/>
      </w:r>
      <w:r>
        <w:br/>
      </w:r>
      <w:r>
        <w:rPr>
          <w:rStyle w:val="VerbatimChar"/>
        </w:rPr>
        <w:t>Then interpretation focus:</w:t>
      </w:r>
      <w:r>
        <w:br/>
      </w:r>
      <w:r>
        <w:rPr>
          <w:rStyle w:val="VerbatimChar"/>
        </w:rPr>
        <w:t>- Fizyolojik regülasyonun kırılganlığı, uyku/enerji dalgalanması olasılığı</w:t>
      </w:r>
      <w:r>
        <w:br/>
      </w:r>
      <w:r>
        <w:rPr>
          <w:rStyle w:val="VerbatimChar"/>
        </w:rPr>
        <w:t>- Rapor dili: nedensellik iddiası yok, sadece risk bağlamı</w:t>
      </w:r>
      <w:r>
        <w:br/>
      </w:r>
      <w:r>
        <w:br/>
      </w:r>
      <w:r>
        <w:rPr>
          <w:rStyle w:val="VerbatimChar"/>
        </w:rPr>
        <w:t>Neutral report phrasing:</w:t>
      </w:r>
      <w:r>
        <w:br/>
      </w:r>
      <w:r>
        <w:rPr>
          <w:rStyle w:val="VerbatimChar"/>
        </w:rPr>
        <w:t>- “Medikal öykü, fizyolojik ritimlerin kırılganlaşabileceği bir bağlam oluşturabilir.”</w:t>
      </w:r>
      <w:r>
        <w:br/>
      </w:r>
      <w:r>
        <w:br/>
      </w:r>
      <w:r>
        <w:rPr>
          <w:rStyle w:val="VerbatimChar"/>
        </w:rPr>
        <w:t>ANAMNESIS_LANGUAGE_COMMUNICATION_LINK</w:t>
      </w:r>
      <w:r>
        <w:br/>
      </w:r>
      <w:r>
        <w:rPr>
          <w:rStyle w:val="VerbatimChar"/>
        </w:rPr>
        <w:t>If anamnesis includes:</w:t>
      </w:r>
      <w:r>
        <w:br/>
      </w:r>
      <w:r>
        <w:rPr>
          <w:rStyle w:val="VerbatimChar"/>
        </w:rPr>
        <w:t>- duygu/ ihtiyaç ifade etmede sınırlılık, geç konuşma, yönerge takipte zorlanma</w:t>
      </w:r>
      <w:r>
        <w:br/>
      </w:r>
      <w:r>
        <w:br/>
      </w:r>
      <w:r>
        <w:rPr>
          <w:rStyle w:val="VerbatimChar"/>
        </w:rPr>
        <w:t>Then interpretation focus:</w:t>
      </w:r>
      <w:r>
        <w:br/>
      </w:r>
      <w:r>
        <w:rPr>
          <w:rStyle w:val="VerbatimChar"/>
        </w:rPr>
        <w:t>- Duygusal regülasyonun “sözel etiketleme” bileşeni</w:t>
      </w:r>
      <w:r>
        <w:br/>
      </w:r>
      <w:r>
        <w:rPr>
          <w:rStyle w:val="VerbatimChar"/>
        </w:rPr>
        <w:t>- Bilişsel/yürütücü alanlarda yönerge-bellek</w:t>
      </w:r>
      <w:r>
        <w:br/>
      </w:r>
      <w:r>
        <w:br/>
      </w:r>
      <w:r>
        <w:rPr>
          <w:rStyle w:val="VerbatimChar"/>
        </w:rPr>
        <w:t>Neutral report phrasing:</w:t>
      </w:r>
      <w:r>
        <w:br/>
      </w:r>
      <w:r>
        <w:rPr>
          <w:rStyle w:val="VerbatimChar"/>
        </w:rPr>
        <w:t>- “İfade/iletişim özellikleri, duygusal ve bilişsel regülasyon göstergeleriyle birlikte yorumlanmıştır.”</w:t>
      </w:r>
      <w:r>
        <w:br/>
      </w:r>
      <w:r>
        <w:br/>
      </w:r>
      <w:r>
        <w:rPr>
          <w:rStyle w:val="VerbatimChar"/>
        </w:rPr>
        <w:t>ANAMNESIS_PARENT_CONCERNS_MAPPING</w:t>
      </w:r>
      <w:r>
        <w:br/>
      </w:r>
      <w:r>
        <w:rPr>
          <w:rStyle w:val="VerbatimChar"/>
        </w:rPr>
        <w:t>If anamnesis includes:</w:t>
      </w:r>
      <w:r>
        <w:br/>
      </w:r>
      <w:r>
        <w:rPr>
          <w:rStyle w:val="VerbatimChar"/>
        </w:rPr>
        <w:t>- ebeveynin “en zorlandığı durum” ve “en tetikleyici bağlam” tanımı</w:t>
      </w:r>
      <w:r>
        <w:br/>
      </w:r>
      <w:r>
        <w:br/>
      </w:r>
      <w:r>
        <w:rPr>
          <w:rStyle w:val="VerbatimChar"/>
        </w:rPr>
        <w:t>Then interpretation focus:</w:t>
      </w:r>
      <w:r>
        <w:br/>
      </w:r>
      <w:r>
        <w:rPr>
          <w:rStyle w:val="VerbatimChar"/>
        </w:rPr>
        <w:t>- Raporun klinik özetinde 1–2 cümleyle “yüksek öncelik bağlamı” belirtilir (müdahale önerilmez).</w:t>
      </w:r>
      <w:r>
        <w:br/>
      </w:r>
      <w:r>
        <w:br/>
      </w:r>
      <w:r>
        <w:rPr>
          <w:rStyle w:val="VerbatimChar"/>
        </w:rPr>
        <w:t>Neutral report phrasing:</w:t>
      </w:r>
      <w:r>
        <w:br/>
      </w:r>
      <w:r>
        <w:rPr>
          <w:rStyle w:val="VerbatimChar"/>
        </w:rPr>
        <w:t>- “Ebeveynin en çok zorlandığını belirttiği bağlam, ölçek örüntüsüyle birlikte değerlendirilmiştir.”</w:t>
      </w:r>
    </w:p>
    <w:p w14:paraId="18798E8F" w14:textId="77777777" w:rsidR="00EE4E57" w:rsidRDefault="00000000">
      <w:pPr>
        <w:pStyle w:val="FirstParagraph"/>
      </w:pPr>
      <w:r>
        <w:lastRenderedPageBreak/>
        <w:t xml:space="preserve">Bu final RAG metni, regülasyonun erken çocuklukta gelişimsel/bağlamsal doğasına dair derlemeler ve uygulama rehberleri; duyusal aşırı duyarlılık ve öz-düzenleme/anksiyete ilişkisini inceleyen okul öncesi çalışmalar; interosepsiyonun duygu düzenleme ve stresle ilişkisini raporlayan okul öncesi araştırmalar; yürütücü işlevlerin çekirdek bileşenlerini tanımlayan temel derlemeler ve küçük yaşta uykunun duygu tepkilerini etkileyebileceğini gösteren çalışmalarla hizalanacak biçimde yazılmıştır. </w:t>
      </w:r>
      <w:hyperlink r:id="rId12">
        <w:r>
          <w:rPr>
            <w:rStyle w:val="Kpr"/>
          </w:rPr>
          <w:t>[8]</w:t>
        </w:r>
      </w:hyperlink>
    </w:p>
    <w:p w14:paraId="0A5EC48A" w14:textId="77777777" w:rsidR="00EE4E57" w:rsidRDefault="00000000">
      <w:pPr>
        <w:pStyle w:val="Balk2"/>
      </w:pPr>
      <w:bookmarkStart w:id="7" w:name="uygulama-notları"/>
      <w:bookmarkEnd w:id="6"/>
      <w:r>
        <w:t>Uygulama notları</w:t>
      </w:r>
    </w:p>
    <w:p w14:paraId="70A6ABA3" w14:textId="77777777" w:rsidR="00EE4E57" w:rsidRDefault="00000000">
      <w:pPr>
        <w:pStyle w:val="FirstParagraph"/>
      </w:pPr>
      <w:r>
        <w:t>Bu RAG’ı rapor motorunda güvenilir kılmak için üç operasyonel nokta kritik:</w:t>
      </w:r>
    </w:p>
    <w:p w14:paraId="45136D52" w14:textId="77777777" w:rsidR="00EE4E57" w:rsidRDefault="00000000">
      <w:pPr>
        <w:pStyle w:val="GvdeMetni"/>
      </w:pPr>
      <w:r>
        <w:t>Birincisi, “düşük/yüksek” etiketlemeyi skor yönünden bağımsızlaştırmak gerekir. Likert maddeleri olumlu/olumsuz kökler içerdiğinde ham toplam skor ters yorumlanabilir; rapor motoru ham skorları önce kanonik bir “zorlanma yoğunluğu” eksenine çevirmeden RAG anahtarlarını çağırmamalıdır.</w:t>
      </w:r>
    </w:p>
    <w:p w14:paraId="1555CC37" w14:textId="77777777" w:rsidR="00EE4E57" w:rsidRDefault="00000000">
      <w:pPr>
        <w:pStyle w:val="GvdeMetni"/>
      </w:pPr>
      <w:r>
        <w:t xml:space="preserve">İkincisi, kısaltılmış ölçekler (10 madde) için “eşik (tipik/riskli/atipik)” konulacaksa, eski sistemdeki cut-off’ları taşımak yerine yeni sürüm için ya norm çalışması ya da en azından kurum içi veride dağılıma dayalı geçici bantlar gerekir; aksi halde rapor “sayısal kesinlik” üretir. Özellikle interosepsiyon için erken çocukluk DMIM’in 36 maddelik bir ölçüm olarak geliştirilip güçlü ayırt edicilik bildirmesi, kısa formun ayrı değerlendirilmesini metodolojik olarak gerekli kılar. </w:t>
      </w:r>
      <w:hyperlink r:id="rId13">
        <w:r>
          <w:rPr>
            <w:rStyle w:val="Kpr"/>
          </w:rPr>
          <w:t>[6]</w:t>
        </w:r>
      </w:hyperlink>
    </w:p>
    <w:p w14:paraId="17882343" w14:textId="77777777" w:rsidR="00EE4E57" w:rsidRDefault="00000000">
      <w:pPr>
        <w:pStyle w:val="GvdeMetni"/>
      </w:pPr>
      <w:r>
        <w:t xml:space="preserve">Üçüncüsü, “çoklu ölçek analizi” kısmı serbest retrieval ile değil, deterministik olarak seçilen ilişki bloklarıyla çalıştırılmalıdır: örneğin (SENSORY düşük &amp; EMOTIONAL düşük) gibi kombinasyonlar zaten sınırlı sayıda olduğundan, doğrudan ilgili RAG bloklarını çağırmak hem hatayı azaltır hem de rapor dilini standardize eder. RAG’in temel fikri dış bilgiyi kontrollü şekilde bağlamak olduğundan, klinik rapor gibi düzenli bir çıktıda bu kontrollü çağırım yaklaşımı “hallucination” riskini pratikte düşürür. </w:t>
      </w:r>
      <w:hyperlink r:id="rId14">
        <w:r>
          <w:rPr>
            <w:rStyle w:val="Kpr"/>
          </w:rPr>
          <w:t>[5]</w:t>
        </w:r>
      </w:hyperlink>
    </w:p>
    <w:bookmarkEnd w:id="1"/>
    <w:bookmarkEnd w:id="2"/>
    <w:bookmarkEnd w:id="7"/>
    <w:p w14:paraId="5CBD8D8A" w14:textId="77777777" w:rsidR="00EE4E57" w:rsidRDefault="00D650C6">
      <w:r>
        <w:rPr>
          <w:noProof/>
        </w:rPr>
        <w:pict w14:anchorId="7732CB67">
          <v:rect id="_x0000_i1025" alt="" style="width:453.6pt;height:.05pt;mso-width-percent:0;mso-height-percent:0;mso-width-percent:0;mso-height-percent:0" o:hralign="center" o:hrstd="t" o:hr="t"/>
        </w:pict>
      </w:r>
    </w:p>
    <w:bookmarkStart w:id="8" w:name="citations"/>
    <w:p w14:paraId="6EEBDCEB" w14:textId="77777777" w:rsidR="00EE4E57" w:rsidRDefault="00000000">
      <w:pPr>
        <w:pStyle w:val="FirstParagraph"/>
      </w:pPr>
      <w:r>
        <w:fldChar w:fldCharType="begin"/>
      </w:r>
      <w:r>
        <w:instrText>HYPERLINK "https://www.annualreviews.org/doi/10.1146/annurev-psych-010814-015221?utm_source=chatgpt.com" \h</w:instrText>
      </w:r>
      <w:r>
        <w:fldChar w:fldCharType="separate"/>
      </w:r>
      <w:r>
        <w:rPr>
          <w:rStyle w:val="Kpr"/>
        </w:rPr>
        <w:t>[1]</w:t>
      </w:r>
      <w:r>
        <w:fldChar w:fldCharType="end"/>
      </w:r>
      <w:r>
        <w:t xml:space="preserve"> </w:t>
      </w:r>
      <w:hyperlink r:id="rId15">
        <w:r>
          <w:rPr>
            <w:rStyle w:val="Kpr"/>
          </w:rPr>
          <w:t>[7]</w:t>
        </w:r>
      </w:hyperlink>
      <w:r>
        <w:t xml:space="preserve"> </w:t>
      </w:r>
      <w:hyperlink r:id="rId16">
        <w:r>
          <w:rPr>
            <w:rStyle w:val="Kpr"/>
          </w:rPr>
          <w:t>[8]</w:t>
        </w:r>
      </w:hyperlink>
      <w:r>
        <w:t xml:space="preserve"> School Readiness and Self-Regulation: A Developmental Psychobiological Approach | Annual Reviews</w:t>
      </w:r>
    </w:p>
    <w:p w14:paraId="698711E3" w14:textId="77777777" w:rsidR="00EE4E57" w:rsidRDefault="00000000">
      <w:pPr>
        <w:pStyle w:val="GvdeMetni"/>
      </w:pPr>
      <w:hyperlink r:id="rId17">
        <w:r>
          <w:rPr>
            <w:rStyle w:val="Kpr"/>
          </w:rPr>
          <w:t>https://www.annualreviews.org/doi/10.1146/annurev-psych-010814-015221?utm_source=chatgpt.com</w:t>
        </w:r>
      </w:hyperlink>
    </w:p>
    <w:p w14:paraId="7DC62EAB" w14:textId="77777777" w:rsidR="00EE4E57" w:rsidRDefault="00000000">
      <w:pPr>
        <w:pStyle w:val="GvdeMetni"/>
      </w:pPr>
      <w:hyperlink r:id="rId18">
        <w:r>
          <w:rPr>
            <w:rStyle w:val="Kpr"/>
          </w:rPr>
          <w:t>[2]</w:t>
        </w:r>
      </w:hyperlink>
      <w:r>
        <w:t xml:space="preserve"> Sensory Over-Responsivity: An Early Risk Factor for Anxiety and Behavioral Challenges in Young Children - PubMed</w:t>
      </w:r>
    </w:p>
    <w:p w14:paraId="36F943F8" w14:textId="77777777" w:rsidR="00EE4E57" w:rsidRDefault="00000000">
      <w:pPr>
        <w:pStyle w:val="GvdeMetni"/>
      </w:pPr>
      <w:hyperlink r:id="rId19">
        <w:r>
          <w:rPr>
            <w:rStyle w:val="Kpr"/>
          </w:rPr>
          <w:t>https://pubmed.ncbi.nlm.nih.gov/30569253/?utm_source=chatgpt.com</w:t>
        </w:r>
      </w:hyperlink>
    </w:p>
    <w:p w14:paraId="13B13F83" w14:textId="77777777" w:rsidR="00EE4E57" w:rsidRDefault="00000000">
      <w:pPr>
        <w:pStyle w:val="GvdeMetni"/>
      </w:pPr>
      <w:hyperlink r:id="rId20">
        <w:r>
          <w:rPr>
            <w:rStyle w:val="Kpr"/>
          </w:rPr>
          <w:t>[3]</w:t>
        </w:r>
      </w:hyperlink>
      <w:r>
        <w:t xml:space="preserve"> Emotion dysregulation: A theme in search of definition | Development and Psychopathology | Cambridge Core</w:t>
      </w:r>
    </w:p>
    <w:p w14:paraId="11DE43D5" w14:textId="77777777" w:rsidR="00EE4E57" w:rsidRDefault="00000000">
      <w:pPr>
        <w:pStyle w:val="GvdeMetni"/>
      </w:pPr>
      <w:hyperlink r:id="rId21">
        <w:r>
          <w:rPr>
            <w:rStyle w:val="Kpr"/>
          </w:rPr>
          <w:t>https://www.cambridge.org/core/services/aop-cambridge-core/content/view/285C7929814A99EB9E5A1104D21B8407/S0954579419000282a.pdf/di</w:t>
        </w:r>
        <w:r>
          <w:rPr>
            <w:rStyle w:val="Kpr"/>
          </w:rPr>
          <w:lastRenderedPageBreak/>
          <w:t>v-class-title-emotion-dysregulation-a-theme-in-search-of-definition-div.pdf?utm_source=chatgpt.com</w:t>
        </w:r>
      </w:hyperlink>
    </w:p>
    <w:p w14:paraId="16DD018C" w14:textId="77777777" w:rsidR="00EE4E57" w:rsidRDefault="00000000">
      <w:pPr>
        <w:pStyle w:val="GvdeMetni"/>
      </w:pPr>
      <w:hyperlink r:id="rId22">
        <w:r>
          <w:rPr>
            <w:rStyle w:val="Kpr"/>
          </w:rPr>
          <w:t>[4]</w:t>
        </w:r>
      </w:hyperlink>
      <w:r>
        <w:t xml:space="preserve"> Co-Regulation From Birth Through Young Adulthood: A Practice Brief | The Administration for Children and Families</w:t>
      </w:r>
    </w:p>
    <w:p w14:paraId="3791100E" w14:textId="77777777" w:rsidR="00EE4E57" w:rsidRDefault="00000000">
      <w:pPr>
        <w:pStyle w:val="GvdeMetni"/>
      </w:pPr>
      <w:hyperlink r:id="rId23">
        <w:r>
          <w:rPr>
            <w:rStyle w:val="Kpr"/>
          </w:rPr>
          <w:t>https://acf.gov/opre/report/co-regulation-birth-through-young-adulthood-practice-brief?utm_source=chatgpt.com</w:t>
        </w:r>
      </w:hyperlink>
    </w:p>
    <w:p w14:paraId="5321CBC4" w14:textId="77777777" w:rsidR="00EE4E57" w:rsidRDefault="00000000">
      <w:pPr>
        <w:pStyle w:val="GvdeMetni"/>
      </w:pPr>
      <w:hyperlink r:id="rId24">
        <w:r>
          <w:rPr>
            <w:rStyle w:val="Kpr"/>
          </w:rPr>
          <w:t>[5]</w:t>
        </w:r>
      </w:hyperlink>
      <w:r>
        <w:t xml:space="preserve"> Retrieval-Augmented Generation for Knowledge-Intensive NLP Tasks | BibSonomy</w:t>
      </w:r>
    </w:p>
    <w:p w14:paraId="52930082" w14:textId="77777777" w:rsidR="00EE4E57" w:rsidRDefault="00000000">
      <w:pPr>
        <w:pStyle w:val="GvdeMetni"/>
      </w:pPr>
      <w:hyperlink r:id="rId25">
        <w:r>
          <w:rPr>
            <w:rStyle w:val="Kpr"/>
          </w:rPr>
          <w:t>https://www.bibsonomy.org/bibtex/2c10ac5346d5a5d035aad3d4d7e94c56e?utm_source=chatgpt.com</w:t>
        </w:r>
      </w:hyperlink>
    </w:p>
    <w:p w14:paraId="6C87610D" w14:textId="77777777" w:rsidR="00EE4E57" w:rsidRDefault="00000000">
      <w:pPr>
        <w:pStyle w:val="GvdeMetni"/>
      </w:pPr>
      <w:hyperlink r:id="rId26">
        <w:r>
          <w:rPr>
            <w:rStyle w:val="Kpr"/>
          </w:rPr>
          <w:t>[6]</w:t>
        </w:r>
      </w:hyperlink>
      <w:r>
        <w:t xml:space="preserve"> Development and Psychometric Evaluation of the Novel Dynamic Metacognitive Interoception Measure (DMIM): Occupational Therapy in Mental Health: Vol 0, No 0 - Get Access</w:t>
      </w:r>
    </w:p>
    <w:p w14:paraId="20A32A28" w14:textId="77777777" w:rsidR="00EE4E57" w:rsidRDefault="00000000">
      <w:pPr>
        <w:pStyle w:val="GvdeMetni"/>
      </w:pPr>
      <w:hyperlink r:id="rId27">
        <w:r>
          <w:rPr>
            <w:rStyle w:val="Kpr"/>
          </w:rPr>
          <w:t>https://www.tandfonline.com/doi/full/10.1080/0164212X.2025.2580465?utm_source=chatgpt.com</w:t>
        </w:r>
      </w:hyperlink>
      <w:bookmarkEnd w:id="8"/>
    </w:p>
    <w:sectPr w:rsidR="00EE4E57">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F50F1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2C8806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146701859">
    <w:abstractNumId w:val="0"/>
  </w:num>
  <w:num w:numId="2" w16cid:durableId="1386760023">
    <w:abstractNumId w:val="1"/>
  </w:num>
  <w:num w:numId="3" w16cid:durableId="1403720132">
    <w:abstractNumId w:val="1"/>
  </w:num>
  <w:num w:numId="4" w16cid:durableId="884609048">
    <w:abstractNumId w:val="1"/>
  </w:num>
  <w:num w:numId="5" w16cid:durableId="14190626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E4E57"/>
    <w:rsid w:val="00102F2C"/>
    <w:rsid w:val="00D650C6"/>
    <w:rsid w:val="00EE4E57"/>
    <w:rsid w:val="00FF69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67A80"/>
  <w15:docId w15:val="{879AB2E0-9054-6B47-B4C4-8246DBD5E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tr"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GvdeMetni"/>
    <w:link w:val="Balk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GvdeMetni"/>
    <w:link w:val="Balk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GvdeMetni"/>
    <w:link w:val="Balk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GvdeMetni"/>
    <w:link w:val="Balk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GvdeMetni"/>
    <w:link w:val="Balk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GvdeMetni"/>
    <w:link w:val="Balk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GvdeMetni"/>
    <w:link w:val="Balk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GvdeMetni"/>
    <w:link w:val="Balk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GvdeMetni"/>
    <w:link w:val="Balk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link w:val="KonuBal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10FD9"/>
    <w:rPr>
      <w:rFonts w:asciiTheme="majorHAnsi" w:eastAsiaTheme="majorEastAsia" w:hAnsiTheme="majorHAnsi" w:cstheme="majorBidi"/>
      <w:spacing w:val="-10"/>
      <w:kern w:val="28"/>
      <w:sz w:val="56"/>
      <w:szCs w:val="56"/>
    </w:rPr>
  </w:style>
  <w:style w:type="paragraph" w:styleId="Altyaz">
    <w:name w:val="Subtitle"/>
    <w:basedOn w:val="KonuBal"/>
    <w:next w:val="GvdeMetni"/>
    <w:link w:val="AltyazChar"/>
    <w:uiPriority w:val="11"/>
    <w:qFormat/>
    <w:rsid w:val="00A10FD9"/>
    <w:pPr>
      <w:numPr>
        <w:ilvl w:val="1"/>
      </w:numPr>
    </w:pPr>
    <w:rPr>
      <w:spacing w:val="15"/>
      <w:sz w:val="28"/>
      <w:szCs w:val="28"/>
    </w:rPr>
  </w:style>
  <w:style w:type="character" w:customStyle="1" w:styleId="AltyazChar">
    <w:name w:val="Altyazı Char"/>
    <w:basedOn w:val="VarsaylanParagrafYazTipi"/>
    <w:link w:val="Altyaz"/>
    <w:uiPriority w:val="11"/>
    <w:rsid w:val="00A10FD9"/>
    <w:rPr>
      <w:rFonts w:eastAsiaTheme="majorEastAsia" w:cstheme="majorBidi"/>
      <w:color w:val="595959" w:themeColor="text1" w:themeTint="A6"/>
      <w:spacing w:val="15"/>
      <w:sz w:val="28"/>
      <w:szCs w:val="28"/>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GvdeMetni"/>
    <w:qFormat/>
    <w:pPr>
      <w:keepNext/>
      <w:keepLines/>
      <w:spacing w:before="100" w:after="300"/>
    </w:pPr>
    <w:rPr>
      <w:sz w:val="20"/>
      <w:szCs w:val="20"/>
    </w:rPr>
  </w:style>
  <w:style w:type="paragraph" w:styleId="Kaynaka">
    <w:name w:val="Bibliography"/>
    <w:basedOn w:val="Normal"/>
    <w:qFormat/>
  </w:style>
  <w:style w:type="character" w:customStyle="1" w:styleId="Balk1Char">
    <w:name w:val="Başlık 1 Char"/>
    <w:basedOn w:val="VarsaylanParagrafYazTipi"/>
    <w:link w:val="Balk1"/>
    <w:uiPriority w:val="9"/>
    <w:rsid w:val="00A10FD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10FD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10FD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10FD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10FD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10FD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10FD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10FD9"/>
    <w:rPr>
      <w:rFonts w:eastAsiaTheme="majorEastAsia" w:cstheme="majorBidi"/>
      <w:color w:val="272727" w:themeColor="text1" w:themeTint="D8"/>
    </w:rPr>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paragraph" w:customStyle="1" w:styleId="FootnoteBlockText">
    <w:name w:val="Footnote Block Text"/>
    <w:basedOn w:val="DipnotMetni"/>
    <w:next w:val="DipnotMetni"/>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customStyle="1" w:styleId="SectionNumber">
    <w:name w:val="Section Number"/>
    <w:basedOn w:val="ResimYazsChar"/>
  </w:style>
  <w:style w:type="character" w:styleId="DipnotBavurusu">
    <w:name w:val="footnote reference"/>
    <w:basedOn w:val="ResimYazsChar"/>
    <w:rPr>
      <w:vertAlign w:val="superscript"/>
    </w:rPr>
  </w:style>
  <w:style w:type="character" w:styleId="Kpr">
    <w:name w:val="Hyperlink"/>
    <w:basedOn w:val="ResimYazsChar"/>
    <w:rPr>
      <w:color w:val="156082" w:themeColor="accent1"/>
    </w:rPr>
  </w:style>
  <w:style w:type="paragraph" w:styleId="TBal">
    <w:name w:val="TOC Heading"/>
    <w:basedOn w:val="Balk1"/>
    <w:next w:val="GvdeMetni"/>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f.gov/opre/report/co-regulation-birth-through-young-adulthood-practice-brief?utm_source=chatgpt.com" TargetMode="External"/><Relationship Id="rId13" Type="http://schemas.openxmlformats.org/officeDocument/2006/relationships/hyperlink" Target="https://www.tandfonline.com/doi/full/10.1080/0164212X.2025.2580465?utm_source=chatgpt.com" TargetMode="External"/><Relationship Id="rId18" Type="http://schemas.openxmlformats.org/officeDocument/2006/relationships/hyperlink" Target="https://pubmed.ncbi.nlm.nih.gov/30569253/?utm_source=chatgpt.com" TargetMode="External"/><Relationship Id="rId26" Type="http://schemas.openxmlformats.org/officeDocument/2006/relationships/hyperlink" Target="https://www.tandfonline.com/doi/full/10.1080/0164212X.2025.2580465?utm_source=chatgpt.com" TargetMode="External"/><Relationship Id="rId3" Type="http://schemas.openxmlformats.org/officeDocument/2006/relationships/settings" Target="settings.xml"/><Relationship Id="rId21" Type="http://schemas.openxmlformats.org/officeDocument/2006/relationships/hyperlink" Target="https://www.cambridge.org/core/services/aop-cambridge-core/content/view/285C7929814A99EB9E5A1104D21B8407/S0954579419000282a.pdf/div-class-title-emotion-dysregulation-a-theme-in-search-of-definition-div.pdf?utm_source=chatgpt.com" TargetMode="External"/><Relationship Id="rId7" Type="http://schemas.openxmlformats.org/officeDocument/2006/relationships/hyperlink" Target="https://www.cambridge.org/core/services/aop-cambridge-core/content/view/285C7929814A99EB9E5A1104D21B8407/S0954579419000282a.pdf/div-class-title-emotion-dysregulation-a-theme-in-search-of-definition-div.pdf?utm_source=chatgpt.com" TargetMode="External"/><Relationship Id="rId12" Type="http://schemas.openxmlformats.org/officeDocument/2006/relationships/hyperlink" Target="https://www.annualreviews.org/doi/10.1146/annurev-psych-010814-015221?utm_source=chatgpt.com" TargetMode="External"/><Relationship Id="rId17" Type="http://schemas.openxmlformats.org/officeDocument/2006/relationships/hyperlink" Target="https://www.annualreviews.org/doi/10.1146/annurev-psych-010814-015221?utm_source=chatgpt.com" TargetMode="External"/><Relationship Id="rId25" Type="http://schemas.openxmlformats.org/officeDocument/2006/relationships/hyperlink" Target="https://www.bibsonomy.org/bibtex/2c10ac5346d5a5d035aad3d4d7e94c56e?utm_source=chatgpt.com" TargetMode="External"/><Relationship Id="rId2" Type="http://schemas.openxmlformats.org/officeDocument/2006/relationships/styles" Target="styles.xml"/><Relationship Id="rId16" Type="http://schemas.openxmlformats.org/officeDocument/2006/relationships/hyperlink" Target="https://www.annualreviews.org/doi/10.1146/annurev-psych-010814-015221?utm_source=chatgpt.com" TargetMode="External"/><Relationship Id="rId20" Type="http://schemas.openxmlformats.org/officeDocument/2006/relationships/hyperlink" Target="https://www.cambridge.org/core/services/aop-cambridge-core/content/view/285C7929814A99EB9E5A1104D21B8407/S0954579419000282a.pdf/div-class-title-emotion-dysregulation-a-theme-in-search-of-definition-div.pdf?utm_source=chatgpt.co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ubmed.ncbi.nlm.nih.gov/30569253/?utm_source=chatgpt.com" TargetMode="External"/><Relationship Id="rId11" Type="http://schemas.openxmlformats.org/officeDocument/2006/relationships/hyperlink" Target="https://www.annualreviews.org/doi/10.1146/annurev-psych-010814-015221?utm_source=chatgpt.com" TargetMode="External"/><Relationship Id="rId24" Type="http://schemas.openxmlformats.org/officeDocument/2006/relationships/hyperlink" Target="https://www.bibsonomy.org/bibtex/2c10ac5346d5a5d035aad3d4d7e94c56e?utm_source=chatgpt.com" TargetMode="External"/><Relationship Id="rId5" Type="http://schemas.openxmlformats.org/officeDocument/2006/relationships/hyperlink" Target="https://www.annualreviews.org/doi/10.1146/annurev-psych-010814-015221?utm_source=chatgpt.com" TargetMode="External"/><Relationship Id="rId15" Type="http://schemas.openxmlformats.org/officeDocument/2006/relationships/hyperlink" Target="https://www.annualreviews.org/doi/10.1146/annurev-psych-010814-015221?utm_source=chatgpt.com" TargetMode="External"/><Relationship Id="rId23" Type="http://schemas.openxmlformats.org/officeDocument/2006/relationships/hyperlink" Target="https://acf.gov/opre/report/co-regulation-birth-through-young-adulthood-practice-brief?utm_source=chatgpt.com" TargetMode="External"/><Relationship Id="rId28" Type="http://schemas.openxmlformats.org/officeDocument/2006/relationships/fontTable" Target="fontTable.xml"/><Relationship Id="rId10" Type="http://schemas.openxmlformats.org/officeDocument/2006/relationships/hyperlink" Target="https://www.tandfonline.com/doi/full/10.1080/0164212X.2025.2580465?utm_source=chatgpt.com" TargetMode="External"/><Relationship Id="rId19" Type="http://schemas.openxmlformats.org/officeDocument/2006/relationships/hyperlink" Target="https://pubmed.ncbi.nlm.nih.gov/30569253/?utm_source=chatgpt.com" TargetMode="External"/><Relationship Id="rId4" Type="http://schemas.openxmlformats.org/officeDocument/2006/relationships/webSettings" Target="webSettings.xml"/><Relationship Id="rId9" Type="http://schemas.openxmlformats.org/officeDocument/2006/relationships/hyperlink" Target="https://www.bibsonomy.org/bibtex/2c10ac5346d5a5d035aad3d4d7e94c56e?utm_source=chatgpt.com" TargetMode="External"/><Relationship Id="rId14" Type="http://schemas.openxmlformats.org/officeDocument/2006/relationships/hyperlink" Target="https://www.bibsonomy.org/bibtex/2c10ac5346d5a5d035aad3d4d7e94c56e?utm_source=chatgpt.com" TargetMode="External"/><Relationship Id="rId22" Type="http://schemas.openxmlformats.org/officeDocument/2006/relationships/hyperlink" Target="https://acf.gov/opre/report/co-regulation-birth-through-young-adulthood-practice-brief?utm_source=chatgpt.com" TargetMode="External"/><Relationship Id="rId27" Type="http://schemas.openxmlformats.org/officeDocument/2006/relationships/hyperlink" Target="https://www.tandfonline.com/doi/full/10.1080/0164212X.2025.2580465?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5257</Words>
  <Characters>29969</Characters>
  <Application>Microsoft Office Word</Application>
  <DocSecurity>0</DocSecurity>
  <Lines>249</Lines>
  <Paragraphs>70</Paragraphs>
  <ScaleCrop>false</ScaleCrop>
  <Company/>
  <LinksUpToDate>false</LinksUpToDate>
  <CharactersWithSpaces>35156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ABDULAH FURKAN CANGI</cp:lastModifiedBy>
  <cp:revision>2</cp:revision>
  <dcterms:created xsi:type="dcterms:W3CDTF">2026-03-10T08:24:00Z</dcterms:created>
  <dcterms:modified xsi:type="dcterms:W3CDTF">2026-03-10T08:27:00Z</dcterms:modified>
  <dc:language>tr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