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120"/>
        <w:jc w:val="center"/>
      </w:pPr>
      <w:r>
        <w:rPr>
          <w:b/>
          <w:bCs/>
          <w:color w:val="1F4E79"/>
          <w:sz w:val="72"/>
          <w:szCs w:val="72"/>
        </w:rPr>
        <w:t xml:space="preserve">SimpleIPaaS</w:t>
      </w:r>
    </w:p>
    <w:p>
      <w:pPr>
        <w:spacing w:after="480"/>
        <w:jc w:val="center"/>
      </w:pPr>
      <w:r>
        <w:rPr>
          <w:color w:val="595959"/>
          <w:sz w:val="32"/>
          <w:szCs w:val="32"/>
        </w:rPr>
        <w:t xml:space="preserve">Enterprise Integration Platform</w:t>
      </w:r>
    </w:p>
    <w:p>
      <w:pPr>
        <w:spacing w:after="200"/>
        <w:jc w:val="center"/>
      </w:pPr>
      <w:r>
        <w:rPr>
          <w:b/>
          <w:bCs/>
          <w:sz w:val="40"/>
          <w:szCs w:val="40"/>
        </w:rPr>
        <w:t xml:space="preserve">Statement of Work &amp; Project Plan</w:t>
      </w:r>
    </w:p>
    <w:p>
      <w:pPr>
        <w:spacing w:after="2400"/>
        <w:jc w:val="center"/>
      </w:pPr>
      <w:r>
        <w:rPr>
          <w:color w:val="595959"/>
          <w:sz w:val="22"/>
          <w:szCs w:val="22"/>
        </w:rPr>
        <w:t xml:space="preserve">Work Breakdown Structure  ·  Milestones  ·  Assumptions  ·  Risks  ·  Deliverables</w:t>
      </w:r>
    </w:p>
    <w:p>
      <w:pPr>
        <w:jc w:val="center"/>
      </w:pPr>
      <w:r>
        <w:rPr>
          <w:color w:val="595959"/>
          <w:sz w:val="20"/>
          <w:szCs w:val="20"/>
        </w:rPr>
        <w:t xml:space="preserve">Document version 1.0   ·   24 July 2026   ·   Client-Confidential</w:t>
      </w:r>
    </w:p>
    <w:p>
      <w:r>
        <w:br w:type="page"/>
      </w:r>
    </w:p>
    <w:p>
      <w:pPr>
        <w:pStyle w:val="Heading1"/>
        <w:spacing w:after="160" w:before="32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Statement of Work</w:t>
      </w:r>
    </w:p>
    <w:p>
      <w:pPr>
        <w:pStyle w:val="Heading2"/>
        <w:spacing w:after="120" w:before="240"/>
      </w:pPr>
      <w:r>
        <w:t xml:space="preserve">1.1 Purpose</w:t>
      </w:r>
    </w:p>
    <w:p>
      <w:pPr>
        <w:spacing w:after="120"/>
      </w:pPr>
      <w:r>
        <w:rPr>
          <w:sz w:val="22"/>
          <w:szCs w:val="22"/>
        </w:rPr>
        <w:t xml:space="preserve">This Statement of Work (SOW) defines the scope, deliverables, plan, and governance for the delivery of SimpleIPaaS, an enterprise integration platform that enables the client to design, execute, schedule, and monitor system-to-system integration flows through a visual designer, with centralized credential management, multi-tenant data isolation, and full execution auditability.</w:t>
      </w:r>
    </w:p>
    <w:p>
      <w:pPr>
        <w:pStyle w:val="Heading2"/>
        <w:spacing w:after="120" w:before="240"/>
      </w:pPr>
      <w:r>
        <w:t xml:space="preserve">1.2 Background</w:t>
      </w:r>
    </w:p>
    <w:p>
      <w:pPr>
        <w:spacing w:after="120"/>
      </w:pPr>
      <w:r>
        <w:rPr>
          <w:sz w:val="22"/>
          <w:szCs w:val="22"/>
        </w:rPr>
        <w:t xml:space="preserve">The client operates a growing portfolio of SaaS and internal systems whose data exchange is currently handled by disparate point-to-point scripts. These carry operational risk: credentials are dispersed, failures are silent, and integration logic is untracked. SimpleIPaaS consolidates this into a governed platform owned by the client.</w:t>
      </w:r>
    </w:p>
    <w:p>
      <w:pPr>
        <w:pStyle w:val="Heading2"/>
        <w:spacing w:after="120" w:before="240"/>
      </w:pPr>
      <w:r>
        <w:t xml:space="preserve">1.3 Scope of Work</w:t>
      </w:r>
    </w:p>
    <w:p>
      <w:pPr>
        <w:spacing w:after="120"/>
      </w:pPr>
      <w:r>
        <w:rPr>
          <w:b/>
          <w:bCs/>
          <w:sz w:val="22"/>
          <w:szCs w:val="22"/>
        </w:rPr>
        <w:t xml:space="preserve">In scope:</w:t>
      </w:r>
    </w:p>
    <w:p>
      <w:pPr>
        <w:pStyle w:val="ListParagraph"/>
        <w:numPr>
          <w:ilvl w:val="0"/>
          <w:numId w:val="2"/>
        </w:numPr>
        <w:spacing w:after="60"/>
      </w:pPr>
      <w:r>
        <w:rPr>
          <w:sz w:val="22"/>
          <w:szCs w:val="22"/>
        </w:rPr>
        <w:t xml:space="preserve">Visual flow designer supporting HTTP action, mapping, branch, persisted-state, and debug nodes composed as a directed acyclic graph.</w:t>
      </w:r>
    </w:p>
    <w:p>
      <w:pPr>
        <w:pStyle w:val="ListParagraph"/>
        <w:numPr>
          <w:ilvl w:val="0"/>
          <w:numId w:val="2"/>
        </w:numPr>
        <w:spacing w:after="60"/>
      </w:pPr>
      <w:r>
        <w:rPr>
          <w:sz w:val="22"/>
          <w:szCs w:val="22"/>
        </w:rPr>
        <w:t xml:space="preserve">Connection management with eight outbound authentication schemes (None, Basic, API Key, Bearer, OAuth2 Client Credentials, OAuth2 Refresh Token, OAuth2 Authorization Code continuation, Custom headers), with credentials encrypted at rest (AES-GCM).</w:t>
      </w:r>
    </w:p>
    <w:p>
      <w:pPr>
        <w:pStyle w:val="ListParagraph"/>
        <w:numPr>
          <w:ilvl w:val="0"/>
          <w:numId w:val="2"/>
        </w:numPr>
        <w:spacing w:after="60"/>
      </w:pPr>
      <w:r>
        <w:rPr>
          <w:sz w:val="22"/>
          <w:szCs w:val="22"/>
        </w:rPr>
        <w:t xml:space="preserve">Trigger framework: manual execution, cron scheduling, and secured inbound webhooks.</w:t>
      </w:r>
    </w:p>
    <w:p>
      <w:pPr>
        <w:pStyle w:val="ListParagraph"/>
        <w:numPr>
          <w:ilvl w:val="0"/>
          <w:numId w:val="2"/>
        </w:numPr>
        <w:spacing w:after="60"/>
      </w:pPr>
      <w:r>
        <w:rPr>
          <w:sz w:val="22"/>
          <w:szCs w:val="22"/>
        </w:rPr>
        <w:t xml:space="preserve">Asynchronous, queued execution engine with per-flow serialization, cancellation, resilience policies, and C# transformation scripting with timeout guards.</w:t>
      </w:r>
    </w:p>
    <w:p>
      <w:pPr>
        <w:pStyle w:val="ListParagraph"/>
        <w:numPr>
          <w:ilvl w:val="0"/>
          <w:numId w:val="2"/>
        </w:numPr>
        <w:spacing w:after="60"/>
      </w:pPr>
      <w:r>
        <w:rPr>
          <w:sz w:val="22"/>
          <w:szCs w:val="22"/>
        </w:rPr>
        <w:t xml:space="preserve">Monitoring suite: execution history, per-step timeline with payload capture, and a managed dead-letter queue with replay.</w:t>
      </w:r>
    </w:p>
    <w:p>
      <w:pPr>
        <w:pStyle w:val="ListParagraph"/>
        <w:numPr>
          <w:ilvl w:val="0"/>
          <w:numId w:val="2"/>
        </w:numPr>
        <w:spacing w:after="60"/>
      </w:pPr>
      <w:r>
        <w:rPr>
          <w:sz w:val="22"/>
          <w:szCs w:val="22"/>
        </w:rPr>
        <w:t xml:space="preserve">Platform security: API-key authentication with tenant resolution, tenant-filtered persistence, input validation, CORS policy, and health endpoints.</w:t>
      </w:r>
    </w:p>
    <w:p>
      <w:pPr>
        <w:pStyle w:val="ListParagraph"/>
        <w:numPr>
          <w:ilvl w:val="0"/>
          <w:numId w:val="2"/>
        </w:numPr>
        <w:spacing w:after="60"/>
      </w:pPr>
      <w:r>
        <w:rPr>
          <w:sz w:val="22"/>
          <w:szCs w:val="22"/>
        </w:rPr>
        <w:t xml:space="preserve">Documentation set: solution architecture, UI design specification, and client presentation pack.</w:t>
      </w:r>
    </w:p>
    <w:p>
      <w:pPr>
        <w:spacing w:after="120"/>
      </w:pPr>
      <w:r>
        <w:rPr>
          <w:b/>
          <w:bCs/>
          <w:sz w:val="22"/>
          <w:szCs w:val="22"/>
        </w:rPr>
        <w:t xml:space="preserve">Out of scope (available as roadmap engagements):</w:t>
      </w:r>
    </w:p>
    <w:p>
      <w:pPr>
        <w:pStyle w:val="ListParagraph"/>
        <w:numPr>
          <w:ilvl w:val="0"/>
          <w:numId w:val="2"/>
        </w:numPr>
        <w:spacing w:after="60"/>
      </w:pPr>
      <w:r>
        <w:rPr>
          <w:sz w:val="22"/>
          <w:szCs w:val="22"/>
        </w:rPr>
        <w:t xml:space="preserve">Non-HTTP connectors (message queues, databases, SFTP).</w:t>
      </w:r>
    </w:p>
    <w:p>
      <w:pPr>
        <w:pStyle w:val="ListParagraph"/>
        <w:numPr>
          <w:ilvl w:val="0"/>
          <w:numId w:val="2"/>
        </w:numPr>
        <w:spacing w:after="60"/>
      </w:pPr>
      <w:r>
        <w:rPr>
          <w:sz w:val="22"/>
          <w:szCs w:val="22"/>
        </w:rPr>
        <w:t xml:space="preserve">Interactive OAuth2 authorization-code consent flow (PKCE).</w:t>
      </w:r>
    </w:p>
    <w:p>
      <w:pPr>
        <w:pStyle w:val="ListParagraph"/>
        <w:numPr>
          <w:ilvl w:val="0"/>
          <w:numId w:val="2"/>
        </w:numPr>
        <w:spacing w:after="60"/>
      </w:pPr>
      <w:r>
        <w:rPr>
          <w:sz w:val="22"/>
          <w:szCs w:val="22"/>
        </w:rPr>
        <w:t xml:space="preserve">Multi-node horizontal scale-out and managed cloud hosting.</w:t>
      </w:r>
    </w:p>
    <w:p>
      <w:pPr>
        <w:pStyle w:val="ListParagraph"/>
        <w:numPr>
          <w:ilvl w:val="0"/>
          <w:numId w:val="2"/>
        </w:numPr>
        <w:spacing w:after="60"/>
      </w:pPr>
      <w:r>
        <w:rPr>
          <w:sz w:val="22"/>
          <w:szCs w:val="22"/>
        </w:rPr>
        <w:t xml:space="preserve">Out-of-process script sandboxing for untrusted script authors.</w:t>
      </w:r>
    </w:p>
    <w:p>
      <w:pPr>
        <w:pStyle w:val="Heading2"/>
        <w:spacing w:after="120" w:before="240"/>
      </w:pPr>
      <w:r>
        <w:t xml:space="preserve">1.4 Delivery Approach</w:t>
      </w:r>
    </w:p>
    <w:p>
      <w:pPr>
        <w:spacing w:after="120"/>
      </w:pPr>
      <w:r>
        <w:rPr>
          <w:sz w:val="22"/>
          <w:szCs w:val="22"/>
        </w:rPr>
        <w:t xml:space="preserve">Delivery follows a specification-first method: the solution architecture document is the single technical authority, and each build increment is verified against it by an independent review pass before acceptance. Work proceeds in the five phases described in Section 3, each closing with a demonstrable milestone.</w:t>
      </w:r>
    </w:p>
    <w:p>
      <w:pPr>
        <w:pStyle w:val="Heading2"/>
        <w:spacing w:after="120" w:before="240"/>
      </w:pPr>
      <w:r>
        <w:t xml:space="preserve">1.5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Role</w:t>
            </w:r>
          </w:p>
        </w:tc>
        <w:tc>
          <w:tcPr>
            <w:tcW w:type="dxa" w:w="351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Party</w:t>
            </w:r>
          </w:p>
        </w:tc>
        <w:tc>
          <w:tcPr>
            <w:tcW w:type="dxa" w:w="351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34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Project Sponsor</w:t>
            </w:r>
          </w:p>
        </w:tc>
        <w:tc>
          <w:tcPr>
            <w:tcW w:type="dxa" w:w="351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Client</w:t>
            </w:r>
          </w:p>
        </w:tc>
        <w:tc>
          <w:tcPr>
            <w:tcW w:type="dxa" w:w="351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Priorities, acceptance sign-off, escalation point</w:t>
            </w:r>
          </w:p>
        </w:tc>
      </w:tr>
      <w:tr>
        <w:tc>
          <w:tcPr>
            <w:tcW w:type="dxa" w:w="234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Product Owner</w:t>
            </w:r>
          </w:p>
        </w:tc>
        <w:tc>
          <w:tcPr>
            <w:tcW w:type="dxa" w:w="351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Client</w:t>
            </w:r>
          </w:p>
        </w:tc>
        <w:tc>
          <w:tcPr>
            <w:tcW w:type="dxa" w:w="351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Requirement clarification, demo feedback, backlog ordering</w:t>
            </w:r>
          </w:p>
        </w:tc>
      </w:tr>
      <w:tr>
        <w:tc>
          <w:tcPr>
            <w:tcW w:type="dxa" w:w="234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Delivery Lead</w:t>
            </w:r>
          </w:p>
        </w:tc>
        <w:tc>
          <w:tcPr>
            <w:tcW w:type="dxa" w:w="351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Vendor</w:t>
            </w:r>
          </w:p>
        </w:tc>
        <w:tc>
          <w:tcPr>
            <w:tcW w:type="dxa" w:w="351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Plan, quality, risk management, status reporting</w:t>
            </w:r>
          </w:p>
        </w:tc>
      </w:tr>
      <w:tr>
        <w:tc>
          <w:tcPr>
            <w:tcW w:type="dxa" w:w="234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Solution Architect</w:t>
            </w:r>
          </w:p>
        </w:tc>
        <w:tc>
          <w:tcPr>
            <w:tcW w:type="dxa" w:w="351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Vendor</w:t>
            </w:r>
          </w:p>
        </w:tc>
        <w:tc>
          <w:tcPr>
            <w:tcW w:type="dxa" w:w="351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Architecture authority, security model, design reviews</w:t>
            </w:r>
          </w:p>
        </w:tc>
      </w:tr>
      <w:tr>
        <w:tc>
          <w:tcPr>
            <w:tcW w:type="dxa" w:w="234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Engineering Team</w:t>
            </w:r>
          </w:p>
        </w:tc>
        <w:tc>
          <w:tcPr>
            <w:tcW w:type="dxa" w:w="351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Vendor</w:t>
            </w:r>
          </w:p>
        </w:tc>
        <w:tc>
          <w:tcPr>
            <w:tcW w:type="dxa" w:w="351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Implementation, verification, documentation</w:t>
            </w:r>
          </w:p>
        </w:tc>
      </w:tr>
      <w:tr>
        <w:tc>
          <w:tcPr>
            <w:tcW w:type="dxa" w:w="234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Operations Contact</w:t>
            </w:r>
          </w:p>
        </w:tc>
        <w:tc>
          <w:tcPr>
            <w:tcW w:type="dxa" w:w="351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Client</w:t>
            </w:r>
          </w:p>
        </w:tc>
        <w:tc>
          <w:tcPr>
            <w:tcW w:type="dxa" w:w="351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Environment access, deployment prerequisites</w:t>
            </w:r>
          </w:p>
        </w:tc>
      </w:tr>
    </w:tbl>
    <w:p>
      <w:pPr>
        <w:spacing w:after="120"/>
      </w:pPr>
    </w:p>
    <w:p>
      <w:pPr>
        <w:pStyle w:val="Heading2"/>
        <w:spacing w:after="120" w:before="240"/>
      </w:pPr>
      <w:r>
        <w:t xml:space="preserve">1.6 Acceptance Criteria</w:t>
      </w:r>
    </w:p>
    <w:p>
      <w:pPr>
        <w:pStyle w:val="ListParagraph"/>
        <w:numPr>
          <w:ilvl w:val="0"/>
          <w:numId w:val="2"/>
        </w:numPr>
        <w:spacing w:after="60"/>
      </w:pPr>
      <w:r>
        <w:rPr>
          <w:sz w:val="22"/>
          <w:szCs w:val="22"/>
        </w:rPr>
        <w:t xml:space="preserve">All deliverables in Section 7 are provided and the solution builds and runs from the delivered source.</w:t>
      </w:r>
    </w:p>
    <w:p>
      <w:pPr>
        <w:pStyle w:val="ListParagraph"/>
        <w:numPr>
          <w:ilvl w:val="0"/>
          <w:numId w:val="2"/>
        </w:numPr>
        <w:spacing w:after="60"/>
      </w:pPr>
      <w:r>
        <w:rPr>
          <w:sz w:val="22"/>
          <w:szCs w:val="22"/>
        </w:rPr>
        <w:t xml:space="preserve">Every capability listed in the solution architecture document is demonstrable in the delivered build.</w:t>
      </w:r>
    </w:p>
    <w:p>
      <w:pPr>
        <w:pStyle w:val="ListParagraph"/>
        <w:numPr>
          <w:ilvl w:val="0"/>
          <w:numId w:val="2"/>
        </w:numPr>
        <w:spacing w:after="60"/>
      </w:pPr>
      <w:r>
        <w:rPr>
          <w:sz w:val="22"/>
          <w:szCs w:val="22"/>
        </w:rPr>
        <w:t xml:space="preserve">The verification review reports no open specification gaps at severity High or above.</w:t>
      </w:r>
    </w:p>
    <w:p>
      <w:pPr>
        <w:pStyle w:val="ListParagraph"/>
        <w:numPr>
          <w:ilvl w:val="0"/>
          <w:numId w:val="2"/>
        </w:numPr>
        <w:spacing w:after="60"/>
      </w:pPr>
      <w:r>
        <w:rPr>
          <w:sz w:val="22"/>
          <w:szCs w:val="22"/>
        </w:rPr>
        <w:t xml:space="preserve">Documentation set is complete and consistent with the delivered system.</w:t>
      </w:r>
    </w:p>
    <w:p>
      <w:r>
        <w:br w:type="page"/>
      </w:r>
    </w:p>
    <w:p>
      <w:pPr>
        <w:pStyle w:val="Heading1"/>
        <w:spacing w:after="160" w:before="320"/>
      </w:pPr>
      <w:r>
        <w:t xml:space="preserve">2. Work Breakdown Structure</w:t>
      </w:r>
    </w:p>
    <w:p>
      <w:pPr>
        <w:spacing w:after="120"/>
      </w:pPr>
      <w:r>
        <w:rPr>
          <w:sz w:val="22"/>
          <w:szCs w:val="22"/>
        </w:rPr>
        <w:t xml:space="preserve">The WBS decomposes the engagement into work packages. Effort is expressed in engineering person-days (PD).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160"/>
        <w:gridCol w:w="1050"/>
        <w:gridCol w:w="3100"/>
      </w:tblGrid>
      <w:tr>
        <w:trPr>
          <w:tblHeader/>
        </w:trPr>
        <w:tc>
          <w:tcPr>
            <w:tcW w:type="dxa" w:w="105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WBS</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Work Package</w:t>
            </w:r>
          </w:p>
        </w:tc>
        <w:tc>
          <w:tcPr>
            <w:tcW w:type="dxa" w:w="105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Effort</w:t>
            </w:r>
          </w:p>
        </w:tc>
        <w:tc>
          <w:tcPr>
            <w:tcW w:type="dxa" w:w="3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Key Outputs</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1</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Discovery &amp; Architecture</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10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Approved architecture specification</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1.1</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Current-state assessment and gap analysis</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Assessment report</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1.2</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Solution architecture &amp; security model</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5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architecture/solution-architecture.md</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1.3</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UI design specification &amp; wireframes</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2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design/wireframes.md</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2</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Platform Foundation</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14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Secured multi-tenant API</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2.1</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API-key authentication &amp; tenant resolution</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4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Auth middleware, ApiKeys store</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2.2</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Credential encryption &amp; secret redaction</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Configuration-sourced AES-GCM</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2.3</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Validation, error contract, health checks</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ProblemDetails, /health</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2.4</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Tenant-isolation hardening &amp; data layer</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4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Filtered repositories</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Execution Engine</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16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Queued, resilient DAG runtime</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3.1</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Execution queue, worker, concurrency control</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5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Channel queue, per-flow locks</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3.2</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Cancellation &amp; flow-level timeouts</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Cancel endpoint, token registry</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3.3</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Script guardrails (timeout, error capture)</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Guarded Roslyn service</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3.4</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Trigger framework (cron scheduler, webhooks)</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5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Scheduler service, webhook API</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4</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Connectivity &amp; Designer</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14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Full auth matrix, designer UX</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4.1</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Outbound authentication handlers &amp; token cache</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6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Eight auth schemes</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4.2</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Connection wizard &amp; connectivity test</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Wizard UI, test endpoint</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4.3</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Designer: validation, trigger settings, deletion</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5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Flow settings panel</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5</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Observability &amp; Operations</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10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Monitoring suite</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5.1</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Dead-letter API, console, managed replay</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5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DLQ endpoints &amp; page</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5.2</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Execution history paging &amp; detail timeline</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Activity log upgrades</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5.3</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Structured logging &amp; operational hygiene</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2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Correlated engine logs</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6</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Verification &amp; Handover</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8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Accepted release</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6.1</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Specification-conformance verification cycles</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4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Verification reports</w:t>
            </w:r>
          </w:p>
        </w:tc>
      </w:tr>
      <w:tr>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6.2</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Client presentation, demo, documentation pack</w:t>
            </w:r>
          </w:p>
        </w:tc>
        <w:tc>
          <w:tcPr>
            <w:tcW w:type="dxa" w:w="10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2 PD</w:t>
            </w: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presentation/ deliverables</w:t>
            </w:r>
          </w:p>
        </w:tc>
      </w:tr>
      <w:tr>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6.3</w:t>
            </w:r>
          </w:p>
        </w:tc>
        <w:tc>
          <w:tcPr>
            <w:tcW w:type="dxa" w:w="41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Handover, walkthrough, acceptance</w:t>
            </w:r>
          </w:p>
        </w:tc>
        <w:tc>
          <w:tcPr>
            <w:tcW w:type="dxa" w:w="105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2 PD</w:t>
            </w:r>
          </w:p>
        </w:tc>
        <w:tc>
          <w:tcPr>
            <w:tcW w:type="dxa" w:w="3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Sign-off</w:t>
            </w:r>
          </w:p>
        </w:tc>
      </w:tr>
    </w:tbl>
    <w:p>
      <w:r>
        <w:br w:type="page"/>
      </w:r>
    </w:p>
    <w:p>
      <w:pPr>
        <w:pStyle w:val="Heading1"/>
        <w:spacing w:after="160" w:before="320"/>
      </w:pPr>
      <w:r>
        <w:t xml:space="preserve">3. Project Plan</w:t>
      </w:r>
    </w:p>
    <w:p>
      <w:pPr>
        <w:spacing w:after="120"/>
      </w:pPr>
      <w:r>
        <w:rPr>
          <w:sz w:val="22"/>
          <w:szCs w:val="22"/>
        </w:rPr>
        <w:t xml:space="preserve">The plan sequences the WBS into five phases. Phases 2–4 overlap where work streams are independent; the verification phase gates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60"/>
        <w:gridCol w:w="1600"/>
        <w:gridCol w:w="32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Phase</w:t>
            </w:r>
          </w:p>
        </w:tc>
        <w:tc>
          <w:tcPr>
            <w:tcW w:type="dxa" w:w="2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Work Packages</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Duration</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Exit Criterion</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P1 · Architecture</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WBS 1</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2 weeks</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Architecture specification approved</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P2 · Foundation</w:t>
            </w:r>
          </w:p>
        </w:tc>
        <w:tc>
          <w:tcPr>
            <w:tcW w:type="dxa" w:w="26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WBS 2</w:t>
            </w:r>
          </w:p>
        </w:tc>
        <w:tc>
          <w:tcPr>
            <w:tcW w:type="dxa" w:w="16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 weeks</w:t>
            </w:r>
          </w:p>
        </w:tc>
        <w:tc>
          <w:tcPr>
            <w:tcW w:type="dxa" w:w="3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Authenticated, tenant-isolated API in test</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P3 · Engine &amp; Triggers</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WBS 3</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3 weeks</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Queued execution + all trigger types live</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P4 · Connectivity &amp; UX</w:t>
            </w:r>
          </w:p>
        </w:tc>
        <w:tc>
          <w:tcPr>
            <w:tcW w:type="dxa" w:w="26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WBS 4, 5</w:t>
            </w:r>
          </w:p>
        </w:tc>
        <w:tc>
          <w:tcPr>
            <w:tcW w:type="dxa" w:w="16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3 weeks</w:t>
            </w:r>
          </w:p>
        </w:tc>
        <w:tc>
          <w:tcPr>
            <w:tcW w:type="dxa" w:w="3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Auth matrix + monitoring suite complete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P5 · Verification &amp; Handover</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WBS 6</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2 weeks</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Acceptance criteria met, sign-off</w:t>
            </w:r>
          </w:p>
        </w:tc>
      </w:tr>
    </w:tbl>
    <w:p>
      <w:pPr>
        <w:spacing w:after="120"/>
      </w:pPr>
    </w:p>
    <w:p>
      <w:pPr>
        <w:spacing w:after="120"/>
      </w:pPr>
      <w:r>
        <w:rPr>
          <w:sz w:val="22"/>
          <w:szCs w:val="22"/>
        </w:rPr>
        <w:t xml:space="preserve">Governance: weekly written status (progress, risks, decisions needed); demo at each milestone; change requests handled via impact assessment against this SOW before adoption.</w:t>
      </w:r>
    </w:p>
    <w:p>
      <w:pPr>
        <w:pStyle w:val="Heading1"/>
        <w:spacing w:after="160" w:before="320"/>
      </w:pPr>
      <w:r>
        <w:t xml:space="preserve">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Milestone</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Demonstrable Evidence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M1</w:t>
            </w:r>
          </w:p>
        </w:tc>
        <w:tc>
          <w:tcPr>
            <w:tcW w:type="dxa" w:w="3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Architecture approved</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Signed-off solution architecture and design documents</w:t>
            </w:r>
          </w:p>
        </w:tc>
      </w:tr>
      <w:tr>
        <w:tc>
          <w:tcPr>
            <w:tcW w:type="dxa" w:w="1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M2</w:t>
            </w:r>
          </w:p>
        </w:tc>
        <w:tc>
          <w:tcPr>
            <w:tcW w:type="dxa" w:w="39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Platform secured</w:t>
            </w:r>
          </w:p>
        </w:tc>
        <w:tc>
          <w:tcPr>
            <w:tcW w:type="dxa" w:w="4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API rejects unauthenticated calls; tenant derived from key; secrets never returned</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M3</w:t>
            </w:r>
          </w:p>
        </w:tc>
        <w:tc>
          <w:tcPr>
            <w:tcW w:type="dxa" w:w="3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Engine productionized</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Runs are queued and cancellable; cron and webhook triggers fire flows</w:t>
            </w:r>
          </w:p>
        </w:tc>
      </w:tr>
      <w:tr>
        <w:tc>
          <w:tcPr>
            <w:tcW w:type="dxa" w:w="1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M4</w:t>
            </w:r>
          </w:p>
        </w:tc>
        <w:tc>
          <w:tcPr>
            <w:tcW w:type="dxa" w:w="39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Connectivity complete</w:t>
            </w:r>
          </w:p>
        </w:tc>
        <w:tc>
          <w:tcPr>
            <w:tcW w:type="dxa" w:w="4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All eight outbound auth schemes verified against live token endpoints</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M5</w:t>
            </w:r>
          </w:p>
        </w:tc>
        <w:tc>
          <w:tcPr>
            <w:tcW w:type="dxa" w:w="3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Observability complete</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Dead-letter console with managed replay; paged activity log</w:t>
            </w:r>
          </w:p>
        </w:tc>
      </w:tr>
      <w:tr>
        <w:tc>
          <w:tcPr>
            <w:tcW w:type="dxa" w:w="1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M6</w:t>
            </w:r>
          </w:p>
        </w:tc>
        <w:tc>
          <w:tcPr>
            <w:tcW w:type="dxa" w:w="39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Acceptance</w:t>
            </w:r>
          </w:p>
        </w:tc>
        <w:tc>
          <w:tcPr>
            <w:tcW w:type="dxa" w:w="4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Verification report clear of High findings; documentation pack delivered</w:t>
            </w:r>
          </w:p>
        </w:tc>
      </w:tr>
    </w:tbl>
    <w:p>
      <w:pPr>
        <w:pStyle w:val="Heading1"/>
        <w:spacing w:after="160" w:before="320"/>
      </w:pPr>
      <w:r>
        <w:t xml:space="preserve">5. Assumptions</w:t>
      </w:r>
    </w:p>
    <w:p>
      <w:pPr>
        <w:pStyle w:val="ListParagraph"/>
        <w:numPr>
          <w:ilvl w:val="0"/>
          <w:numId w:val="2"/>
        </w:numPr>
        <w:spacing w:after="60"/>
      </w:pPr>
      <w:r>
        <w:rPr>
          <w:sz w:val="22"/>
          <w:szCs w:val="22"/>
        </w:rPr>
        <w:t xml:space="preserve">The client provides test instances (or sandboxes) of the external systems to be integrated, including OAuth2 client registrations where applicable.</w:t>
      </w:r>
    </w:p>
    <w:p>
      <w:pPr>
        <w:pStyle w:val="ListParagraph"/>
        <w:numPr>
          <w:ilvl w:val="0"/>
          <w:numId w:val="2"/>
        </w:numPr>
        <w:spacing w:after="60"/>
      </w:pPr>
      <w:r>
        <w:rPr>
          <w:sz w:val="22"/>
          <w:szCs w:val="22"/>
        </w:rPr>
        <w:t xml:space="preserve">Transformation scripts are authored by trusted, authenticated client personnel; hostile-author isolation is a roadmap item and not required for acceptance.</w:t>
      </w:r>
    </w:p>
    <w:p>
      <w:pPr>
        <w:pStyle w:val="ListParagraph"/>
        <w:numPr>
          <w:ilvl w:val="0"/>
          <w:numId w:val="2"/>
        </w:numPr>
        <w:spacing w:after="60"/>
      </w:pPr>
      <w:r>
        <w:rPr>
          <w:sz w:val="22"/>
          <w:szCs w:val="22"/>
        </w:rPr>
        <w:t xml:space="preserve">Initial deployment targets a single application node; the packaged SQLite datastore is acceptable for this topology, with PostgreSQL promotion available as a roadmap engagement.</w:t>
      </w:r>
    </w:p>
    <w:p>
      <w:pPr>
        <w:pStyle w:val="ListParagraph"/>
        <w:numPr>
          <w:ilvl w:val="0"/>
          <w:numId w:val="2"/>
        </w:numPr>
        <w:spacing w:after="60"/>
      </w:pPr>
      <w:r>
        <w:rPr>
          <w:sz w:val="22"/>
          <w:szCs w:val="22"/>
        </w:rPr>
        <w:t xml:space="preserve">The client operations team manages TLS termination and network exposure of the platform endpoints in their hosting environment.</w:t>
      </w:r>
    </w:p>
    <w:p>
      <w:pPr>
        <w:pStyle w:val="ListParagraph"/>
        <w:numPr>
          <w:ilvl w:val="0"/>
          <w:numId w:val="2"/>
        </w:numPr>
        <w:spacing w:after="60"/>
      </w:pPr>
      <w:r>
        <w:rPr>
          <w:sz w:val="22"/>
          <w:szCs w:val="22"/>
        </w:rPr>
        <w:t xml:space="preserve">Client stakeholders are available for milestone demos and acceptance decisions within five business days of each milestone.</w:t>
      </w:r>
    </w:p>
    <w:p>
      <w:pPr>
        <w:pStyle w:val="ListParagraph"/>
        <w:numPr>
          <w:ilvl w:val="0"/>
          <w:numId w:val="2"/>
        </w:numPr>
        <w:spacing w:after="60"/>
      </w:pPr>
      <w:r>
        <w:rPr>
          <w:sz w:val="22"/>
          <w:szCs w:val="22"/>
        </w:rPr>
        <w:t xml:space="preserve">The encryption key and platform API keys are provisioned and custodied by the client at deployment via configuration/environment, outside source control.</w:t>
      </w:r>
    </w:p>
    <w:p>
      <w:pPr>
        <w:pStyle w:val="Heading1"/>
        <w:spacing w:after="160" w:before="320"/>
      </w:pPr>
      <w:r>
        <w:t xml:space="preserve">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4260"/>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Likelihood</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Impact</w:t>
            </w:r>
          </w:p>
        </w:tc>
        <w:tc>
          <w:tcPr>
            <w:tcW w:type="dxa" w:w="4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Mitigation</w:t>
            </w:r>
          </w:p>
        </w:tc>
      </w:tr>
      <w:tr>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External API sandboxes unavailable during connectivity work</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Medium</w:t>
            </w:r>
          </w:p>
        </w:tc>
        <w:tc>
          <w:tcPr>
            <w:tcW w:type="dxa" w:w="4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Token-echo test harness used for auth verification; live validation completes when sandboxes arrive</w:t>
            </w:r>
          </w:p>
        </w:tc>
      </w:tr>
      <w:tr>
        <w:tc>
          <w:tcPr>
            <w:tcW w:type="dxa" w:w="29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Scope growth from new connector requests</w:t>
            </w:r>
          </w:p>
        </w:tc>
        <w:tc>
          <w:tcPr>
            <w:tcW w:type="dxa" w:w="1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High</w:t>
            </w:r>
          </w:p>
        </w:tc>
        <w:tc>
          <w:tcPr>
            <w:tcW w:type="dxa" w:w="42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Change-control against this SOW; connector marketplace positioned as roadmap phase</w:t>
            </w:r>
          </w:p>
        </w:tc>
      </w:tr>
      <w:tr>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Single-node datastore reaches concurrency limits under unexpected load</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Medium</w:t>
            </w:r>
          </w:p>
        </w:tc>
        <w:tc>
          <w:tcPr>
            <w:tcW w:type="dxa" w:w="4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Repository abstraction keeps PostgreSQL promotion a provider swap; load characteristics reviewed at M5</w:t>
            </w:r>
          </w:p>
        </w:tc>
      </w:tr>
      <w:tr>
        <w:tc>
          <w:tcPr>
            <w:tcW w:type="dxa" w:w="29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Transformation scripts written with unbounded loops or heavy payloads</w:t>
            </w:r>
          </w:p>
        </w:tc>
        <w:tc>
          <w:tcPr>
            <w:tcW w:type="dxa" w:w="1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Medium</w:t>
            </w:r>
          </w:p>
        </w:tc>
        <w:tc>
          <w:tcPr>
            <w:tcW w:type="dxa" w:w="42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Per-script wall-clock timeouts, structured failure capture, dead-letter isolation of failing steps</w:t>
            </w:r>
          </w:p>
        </w:tc>
      </w:tr>
      <w:tr>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Replay of non-idempotent endpoints duplicates side effects</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High</w:t>
            </w:r>
          </w:p>
        </w:tc>
        <w:tc>
          <w:tcPr>
            <w:tcW w:type="dxa" w:w="4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Replay policy restricted to replay-safe methods by default; idempotency keys on roadmap; documented operator guidance</w:t>
            </w:r>
          </w:p>
        </w:tc>
      </w:tr>
      <w:tr>
        <w:tc>
          <w:tcPr>
            <w:tcW w:type="dxa" w:w="29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Key personnel availability (client-side acceptance)</w:t>
            </w:r>
          </w:p>
        </w:tc>
        <w:tc>
          <w:tcPr>
            <w:tcW w:type="dxa" w:w="1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Low</w:t>
            </w:r>
          </w:p>
        </w:tc>
        <w:tc>
          <w:tcPr>
            <w:tcW w:type="dxa" w:w="11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Medium</w:t>
            </w:r>
          </w:p>
        </w:tc>
        <w:tc>
          <w:tcPr>
            <w:tcW w:type="dxa" w:w="42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Written milestone evidence enables asynchronous review; five-day acceptance window agreed</w:t>
            </w:r>
          </w:p>
        </w:tc>
      </w:tr>
      <w:tr>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Credential compromise in client hosting environment</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High</w:t>
            </w:r>
          </w:p>
        </w:tc>
        <w:tc>
          <w:tcPr>
            <w:tcW w:type="dxa" w:w="4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Secrets encrypted at rest, never returned by APIs, keys rotatable; custody documented in runbook</w:t>
            </w:r>
          </w:p>
        </w:tc>
      </w:tr>
    </w:tbl>
    <w:p>
      <w:r>
        <w:br w:type="page"/>
      </w:r>
    </w:p>
    <w:p>
      <w:pPr>
        <w:pStyle w:val="Heading1"/>
        <w:spacing w:after="160" w:before="320"/>
      </w:pPr>
      <w:r>
        <w:t xml:space="preserve">7.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Deliverable</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Description / Location</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D1</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Solution source code</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Complete .NET solution: API, execution engine, Blazor client, shared libraries</w:t>
            </w:r>
          </w:p>
        </w:tc>
      </w:tr>
      <w:tr>
        <w:tc>
          <w:tcPr>
            <w:tcW w:type="dxa" w:w="1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D2</w:t>
            </w:r>
          </w:p>
        </w:tc>
        <w:tc>
          <w:tcPr>
            <w:tcW w:type="dxa" w:w="37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Solution architecture document</w:t>
            </w:r>
          </w:p>
        </w:tc>
        <w:tc>
          <w:tcPr>
            <w:tcW w:type="dxa" w:w="44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architecture/solution-architecture.md — technical authority for the system</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D3</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UI design specification</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design/wireframes.md — wireframes and build instructions for all screens</w:t>
            </w:r>
          </w:p>
        </w:tc>
      </w:tr>
      <w:tr>
        <w:tc>
          <w:tcPr>
            <w:tcW w:type="dxa" w:w="1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D4</w:t>
            </w:r>
          </w:p>
        </w:tc>
        <w:tc>
          <w:tcPr>
            <w:tcW w:type="dxa" w:w="37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Statement of Work &amp; project plan</w:t>
            </w:r>
          </w:p>
        </w:tc>
        <w:tc>
          <w:tcPr>
            <w:tcW w:type="dxa" w:w="44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This document (wbs/)</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D5</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Client presentation pack</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presentation/client-presentation.md — deck, speaker notes, demo flow, testing summary, limitations, roadmap</w:t>
            </w:r>
          </w:p>
        </w:tc>
      </w:tr>
      <w:tr>
        <w:tc>
          <w:tcPr>
            <w:tcW w:type="dxa" w:w="12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D6</w:t>
            </w:r>
          </w:p>
        </w:tc>
        <w:tc>
          <w:tcPr>
            <w:tcW w:type="dxa" w:w="376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Verification reports</w:t>
            </w:r>
          </w:p>
        </w:tc>
        <w:tc>
          <w:tcPr>
            <w:tcW w:type="dxa" w:w="4400"/>
            <w:tcBorders>
              <w:top w:val="single" w:color="BFBFBF" w:sz="4"/>
              <w:left w:val="single" w:color="BFBFBF" w:sz="4"/>
              <w:bottom w:val="single" w:color="BFBFBF" w:sz="4"/>
              <w:right w:val="single" w:color="BFBFBF" w:sz="4"/>
            </w:tcBorders>
            <w:shd w:fill="F2F6FB" w:val="clear"/>
            <w:tcMar>
              <w:top w:type="dxa" w:w="60"/>
              <w:left w:type="dxa" w:w="120"/>
              <w:bottom w:type="dxa" w:w="60"/>
              <w:right w:type="dxa" w:w="120"/>
            </w:tcMar>
            <w:vAlign w:val="center"/>
          </w:tcPr>
          <w:p>
            <w:r>
              <w:rPr>
                <w:sz w:val="20"/>
                <w:szCs w:val="20"/>
              </w:rPr>
              <w:t xml:space="preserve">Specification-conformance review outputs from the verification phase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D7</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Deployment configuration</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Configuration templates for keys, CORS, scheduling, and execution tuning</w:t>
            </w:r>
          </w:p>
        </w:tc>
      </w:tr>
    </w:tbl>
    <w:p>
      <w:pPr>
        <w:spacing w:after="120"/>
      </w:pPr>
    </w:p>
    <w:p>
      <w:pPr>
        <w:pStyle w:val="Heading1"/>
        <w:spacing w:after="160" w:before="320"/>
      </w:pPr>
      <w:r>
        <w:t xml:space="preserve">8. Approval</w:t>
      </w:r>
    </w:p>
    <w:p>
      <w:pPr>
        <w:spacing w:after="120"/>
      </w:pPr>
      <w:r>
        <w:rPr>
          <w:sz w:val="22"/>
          <w:szCs w:val="22"/>
        </w:rPr>
        <w:t xml:space="preserve">By signing below, the parties agree to the scope, plan, and terms described in this Statement of 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Client</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Vendor</w:t>
            </w:r>
          </w:p>
        </w:tc>
      </w:tr>
      <w:tr>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Name</w:t>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Title</w:t>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Signature</w:t>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Date</w:t>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c>
          <w:tcPr>
            <w:tcW w:type="dxa" w:w="312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r>
              <w:rPr>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2026-07-24T10:59:43.503Z</dcterms:created>
  <dcterms:modified xsi:type="dcterms:W3CDTF">2026-07-24T10:59:43.503Z</dcterms:modified>
</cp:coreProperties>
</file>

<file path=docProps/custom.xml><?xml version="1.0" encoding="utf-8"?>
<Properties xmlns="http://schemas.openxmlformats.org/officeDocument/2006/custom-properties" xmlns:vt="http://schemas.openxmlformats.org/officeDocument/2006/docPropsVTypes"/>
</file>