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0"/>
          <w:szCs w:val="30"/>
        </w:rPr>
        <w:t xml:space="preserve">Meeting Prep — George Schneller, Towerstone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Today, June 17, 2026 · 8:00–8:30am PDT · Teams · Intro / discovery call (sourced by Matt Stapleton)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Who You're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George Schneller — President, Towerstone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 Towerstone since 2007; rose from claims &amp; client service through production to EVP, then President. Lawyer by training (JD, SMU Dedman; BA, University of Dallas); practiced construction &amp; commercial litigation in Dallas before insurance.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Detail-oriented and contract-savvy. Contract/policy review will resonate given his legal background.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george.schneller@towerstonecorp.com · +1 214-498-9543 · Dallas, TX</w:t>
            </w:r>
          </w:p>
        </w:tc>
      </w:tr>
    </w:tbl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The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Dallas-based specialty wholesale insurance broker / MGA, founded 1997, ~55–60 employees.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Focus: construction, energy, environmental, and property/casualty specialty risks. Flagship National Energy Program (GL / excess / auto for oil &amp; gas operators and contractors).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Subsidiary of IMA Financial Group (calendar invites route through imacorp.com).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 growth / integration mode — acquired Gremesco (CT wholesale broker) Feb 2026; also added Fortuna General Insurance Agency.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Where Things 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Early-stage lead (status: Lead / In Progress) — not yet an open deal.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Matt Stapleton (Enterprise BD) sourced it; cold outreach June 11, they connected, and this is the intro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Original framing: “TowerStone / AI discussion with FurtherAI.” George rescheduled and sent his own Teams invite for today. You are CC'd throughout.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prior meeting notes exist yet — this is the first substantive conversation.</w:t>
      </w:r>
    </w:p>
    <w:p>
      <w:pPr>
        <w:pStyle w:val="Heading2"/>
        <w:pBdr>
          <w:bottom w:val="single" w:color="1F4E79" w:sz="6" w:space="1"/>
        </w:pBd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Angle for the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Goal: discovery + land a follow-up. Learn their workflows; don't hard-pitch.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Probe manual workload as a wholesale broker/MGA — submission intake, quoting, contract/policy review (all strong FurtherAI fits).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Recent acquisitions (Gremesco, Fortuna) imply systems/process-integration pain — a natural automation wedge.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Clarify the buying process early: is a decision theirs locally, or does it run through IMA?</w:t>
      </w:r>
    </w:p>
    <w:p>
      <w:pPr>
        <w:spacing w:after="0" w:before="200"/>
      </w:pPr>
      <w:r>
        <w:rPr>
          <w:b/>
          <w:bCs/>
          <w:color w:val="555555"/>
          <w:sz w:val="16"/>
          <w:szCs w:val="16"/>
        </w:rPr>
        <w:t xml:space="preserve">Sources: </w:t>
      </w:r>
      <w:r>
        <w:rPr>
          <w:color w:val="555555"/>
          <w:sz w:val="16"/>
          <w:szCs w:val="16"/>
        </w:rPr>
        <w:t xml:space="preserve">HubSpot CRM; Gmail (“Towerstone – Matt from FurtherAI”); </w:t>
      </w:r>
      <w:hyperlink w:history="1" r:id="rIdypabhwou-hmfmumj1vamy">
        <w:r>
          <w:rPr>
            <w:rStyle w:val="Hyperlink"/>
            <w:sz w:val="16"/>
            <w:szCs w:val="16"/>
          </w:rPr>
          <w:t xml:space="preserve">Insurance Journal</w:t>
        </w:r>
      </w:hyperlink>
      <w:r>
        <w:rPr>
          <w:color w:val="555555"/>
          <w:sz w:val="16"/>
          <w:szCs w:val="16"/>
        </w:rPr>
        <w:t xml:space="preserve">, </w:t>
      </w:r>
      <w:hyperlink w:history="1" r:id="rIdcca51thlvovppxurhn3ey">
        <w:r>
          <w:rPr>
            <w:rStyle w:val="Hyperlink"/>
            <w:sz w:val="16"/>
            <w:szCs w:val="16"/>
          </w:rPr>
          <w:t xml:space="preserve">Towerstone profile</w:t>
        </w:r>
      </w:hyperlink>
      <w:r>
        <w:rPr>
          <w:color w:val="555555"/>
          <w:sz w:val="16"/>
          <w:szCs w:val="16"/>
        </w:rPr>
        <w:t xml:space="preserve">, </w:t>
      </w:r>
      <w:hyperlink w:history="1" r:id="rIdzmkj6ubsoz-djiwtvhdbx">
        <w:r>
          <w:rPr>
            <w:rStyle w:val="Hyperlink"/>
            <w:sz w:val="16"/>
            <w:szCs w:val="16"/>
          </w:rPr>
          <w:t xml:space="preserve">IMA Financial Group</w:t>
        </w:r>
      </w:hyperlink>
      <w:r>
        <w:rPr>
          <w:color w:val="555555"/>
          <w:sz w:val="16"/>
          <w:szCs w:val="16"/>
        </w:rP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abhwou-hmfmumj1vamy" Type="http://schemas.openxmlformats.org/officeDocument/2006/relationships/hyperlink" Target="https://www.insurancejournal.com/news/southcentral/2017/06/05/453565.htm" TargetMode="External"/><Relationship Id="rIdcca51thlvovppxurhn3ey" Type="http://schemas.openxmlformats.org/officeDocument/2006/relationships/hyperlink" Target="https://towerstonecorp.com/profiles/george-schneller/" TargetMode="External"/><Relationship Id="rIdzmkj6ubsoz-djiwtvhdbx" Type="http://schemas.openxmlformats.org/officeDocument/2006/relationships/hyperlink" Target="https://imacorp.com/towerstone-expands-national-presence-through-gremesco-partnershi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2026-06-17T14:57:10.266Z</dcterms:created>
  <dcterms:modified xsi:type="dcterms:W3CDTF">2026-06-17T14:57:10.266Z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