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b/>
          <w:bCs/>
          <w:color w:val="1F4E78"/>
          <w:sz w:val="48"/>
          <w:szCs w:val="48"/>
        </w:rPr>
        <w:t xml:space="preserve">Bitcoin Land Bond</w:t>
      </w:r>
    </w:p>
    <w:p>
      <w:pPr>
        <w:spacing w:after="240"/>
        <w:jc w:val="center"/>
      </w:pPr>
      <w:r>
        <w:rPr>
          <w:color w:val="2E75B6"/>
          <w:sz w:val="28"/>
          <w:szCs w:val="28"/>
        </w:rPr>
        <w:t xml:space="preserve">Financing Reentry Housing Through Criminal Asset Recovery</w:t>
      </w:r>
    </w:p>
    <w:p>
      <w:pPr>
        <w:spacing w:after="480" w:before="720"/>
        <w:jc w:val="center"/>
      </w:pPr>
      <w:r>
        <w:rPr>
          <w:sz w:val="22"/>
          <w:szCs w:val="22"/>
        </w:rPr>
        <w:t xml:space="preserve">Policy White Paper</w:t>
      </w:r>
    </w:p>
    <w:p>
      <w:pPr>
        <w:spacing w:after="60" w:before="1200"/>
        <w:jc w:val="center"/>
      </w:pPr>
      <w:r>
        <w:rPr>
          <w:b/>
          <w:bCs/>
          <w:sz w:val="22"/>
          <w:szCs w:val="22"/>
        </w:rPr>
        <w:t xml:space="preserve">May 2026</w:t>
      </w:r>
    </w:p>
    <w:r>
      <w:br w:type="page"/>
    </w:r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The United States government holds approximately $15 billion in seized cryptocurrency from criminal enterprises. This capital remains largely static while housing crises in reentry corridors demand immediate investment.</w:t>
      </w:r>
    </w:p>
    <w:p>
      <w:pPr>
        <w:spacing w:after="200"/>
      </w:pPr>
      <w:r>
        <w:t xml:space="preserve">The Bitcoin Land Bond proposes a nonprofit governance framework that redeploys seized Bitcoin to fund dedicated housing for formerly incarcerated people, combining criminal justice reform with measurable housing outcomes.</w:t>
      </w:r>
    </w:p>
    <w:p>
      <w:pPr>
        <w:spacing w:after="200"/>
      </w:pPr>
      <w:r>
        <w:rPr>
          <w:b/>
          <w:bCs/>
        </w:rPr>
        <w:t xml:space="preserve">Core Elements:</w:t>
      </w:r>
    </w:p>
    <w:p>
      <w:pPr>
        <w:pStyle w:val="ListParagraph"/>
        <w:numPr>
          <w:ilvl w:val="0"/>
          <w:numId w:val="2"/>
        </w:numPr>
      </w:pPr>
      <w:r>
        <w:t xml:space="preserve">Asset Source: Criminal asset forfeiture proceeds redirected to nonprofit</w:t>
      </w:r>
    </w:p>
    <w:p>
      <w:pPr>
        <w:pStyle w:val="ListParagraph"/>
        <w:numPr>
          <w:ilvl w:val="0"/>
          <w:numId w:val="2"/>
        </w:numPr>
      </w:pPr>
      <w:r>
        <w:t xml:space="preserve">Capital Deployment: Land acquisition in high-opportunity neighborhoods</w:t>
      </w:r>
    </w:p>
    <w:p>
      <w:pPr>
        <w:pStyle w:val="ListParagraph"/>
        <w:numPr>
          <w:ilvl w:val="0"/>
          <w:numId w:val="2"/>
        </w:numPr>
      </w:pPr>
      <w:r>
        <w:t xml:space="preserve">Governance: Independent nonprofit with reentry advocate representation</w:t>
      </w:r>
    </w:p>
    <w:p>
      <w:pPr>
        <w:pStyle w:val="ListParagraph"/>
        <w:numPr>
          <w:ilvl w:val="0"/>
          <w:numId w:val="2"/>
        </w:numPr>
      </w:pPr>
      <w:r>
        <w:t xml:space="preserve">Financial Structure: Hybrid model combining grants, impact investors, volatility hedging</w:t>
      </w:r>
    </w:p>
    <w:p>
      <w:pPr>
        <w:pStyle w:val="ListParagraph"/>
        <w:numPr>
          <w:ilvl w:val="0"/>
          <w:numId w:val="2"/>
        </w:numPr>
      </w:pPr>
      <w:r>
        <w:t xml:space="preserve">Scale: Initial $500M across 5 pilot cities; $2-3B at maturity</w:t>
      </w:r>
    </w:p>
    <w:r>
      <w:br w:type="page"/>
    </w:r>
    <w:p>
      <w:pPr>
        <w:pStyle w:val="Heading1"/>
      </w:pPr>
      <w:r>
        <w:t xml:space="preserve">1. The Problem: Asset Waste and Housing Exclusion</w:t>
      </w:r>
    </w:p>
    <w:p>
      <w:pPr>
        <w:pStyle w:val="Heading2"/>
      </w:pPr>
      <w:r>
        <w:t xml:space="preserve">1.1 Seized Assets in Federal Custody</w:t>
      </w:r>
    </w:p>
    <w:p>
      <w:pPr>
        <w:spacing w:after="200"/>
      </w:pPr>
      <w:r>
        <w:t xml:space="preserve">The DOJ holds $8-10B in seized cash and $5-7B in digital assets as of 2026. Sources include drug trafficking, cryptocurrency crime, financial fraud, and human trafficking enforcement.</w:t>
      </w:r>
    </w:p>
    <w:p>
      <w:pPr>
        <w:spacing w:after="200"/>
      </w:pPr>
      <w:r>
        <w:t xml:space="preserve">Current disposition: Majority remains in government custody generating no economic output. Statutory distributions focus on law enforcement equipment and task forces—not housing infrastructure or reentry services.</w:t>
      </w:r>
    </w:p>
    <w:p>
      <w:pPr>
        <w:pStyle w:val="Heading2"/>
      </w:pPr>
      <w:r>
        <w:t xml:space="preserve">1.2 The Reentry Housing Crisis</w:t>
      </w:r>
    </w:p>
    <w:p>
      <w:pPr>
        <w:spacing w:after="200"/>
      </w:pPr>
      <w:r>
        <w:t xml:space="preserve">600,000+ people release from custody annually. Stable housing within 30 days is primary recidivism predictor, yet:</w:t>
      </w:r>
    </w:p>
    <w:p>
      <w:pPr>
        <w:pStyle w:val="ListParagraph"/>
        <w:numPr>
          <w:ilvl w:val="0"/>
          <w:numId w:val="2"/>
        </w:numPr>
      </w:pPr>
      <w:r>
        <w:t xml:space="preserve">75% of landlords reject felony convictions</w:t>
      </w:r>
    </w:p>
    <w:p>
      <w:pPr>
        <w:pStyle w:val="ListParagraph"/>
        <w:numPr>
          <w:ilvl w:val="0"/>
          <w:numId w:val="2"/>
        </w:numPr>
      </w:pPr>
      <w:r>
        <w:t xml:space="preserve">Public housing maintains formal exclusion bans</w:t>
      </w:r>
    </w:p>
    <w:p>
      <w:pPr>
        <w:pStyle w:val="ListParagraph"/>
        <w:numPr>
          <w:ilvl w:val="0"/>
          <w:numId w:val="2"/>
        </w:numPr>
      </w:pPr>
      <w:r>
        <w:t xml:space="preserve">Nonprofit reentry housing serves &lt;30K units nationally—95% shortfall</w:t>
      </w:r>
    </w:p>
    <w:p>
      <w:pPr>
        <w:pStyle w:val="ListParagraph"/>
        <w:numPr>
          <w:ilvl w:val="0"/>
          <w:numId w:val="2"/>
        </w:numPr>
      </w:pPr>
      <w:r>
        <w:t xml:space="preserve">Formerly incarcerated experience homelessness at 5-7x general population rate</w:t>
      </w:r>
    </w:p>
    <w:p>
      <w:pPr>
        <w:spacing w:after="200" w:before="200"/>
      </w:pPr>
      <w:r>
        <w:t xml:space="preserve">Research demonstrates stable housing in first 90 days reduces reoffending by 20-30 points and increases employment by 25%.</w:t>
      </w:r>
    </w:p>
    <w:r>
      <w:br w:type="page"/>
    </w:r>
    <w:p>
      <w:pPr>
        <w:pStyle w:val="Heading1"/>
      </w:pPr>
      <w:r>
        <w:t xml:space="preserve">2. The Opportunity: Seized Cryptocurrency as Housing Capital</w:t>
      </w:r>
    </w:p>
    <w:p>
      <w:pPr>
        <w:spacing w:after="200"/>
      </w:pPr>
      <w:r>
        <w:t xml:space="preserve">Seized cryptocurrency offers unique advantages as capital for reentry housing: fungibility/liquidity, custody efficiency, powerful narrative (criminals' proceeds funding law-abiding citizens), and clean ethical separation from illicit activity.</w:t>
      </w:r>
    </w:p>
    <w:p>
      <w:pPr>
        <w:spacing w:after="200"/>
      </w:pPr>
      <w:r>
        <w:t xml:space="preserve">Initial sizing: $500M-$2B allocation represents 5-10% of seized digital holdings—politically sustainable without displacing law enforcement priorities.</w:t>
      </w:r>
    </w:p>
    <w:p>
      <w:pPr>
        <w:spacing w:after="200"/>
      </w:pPr>
      <w:r>
        <w:rPr>
          <w:b/>
          <w:bCs/>
        </w:rPr>
        <w:t xml:space="preserve">Land as Permanent Capital: </w:t>
      </w:r>
      <w:r>
        <w:t xml:space="preserve">Bitcoin Land Bond converts volatile digital assets into stable deed-restricted land. Land values in high-opportunity cities appreciate 3-5% annually, creating inflation hedge and 20-30 year recapitalization pool without depleting primary asset.</w:t>
      </w:r>
    </w:p>
    <w:r>
      <w:br w:type="page"/>
    </w:r>
    <w:p>
      <w:pPr>
        <w:pStyle w:val="Heading1"/>
      </w:pPr>
      <w:r>
        <w:t xml:space="preserve">3. Model Overview: Bitcoin Land Bond Architecture</w:t>
      </w:r>
    </w:p>
    <w:p>
      <w:pPr>
        <w:pStyle w:val="Heading2"/>
      </w:pPr>
      <w:r>
        <w:t xml:space="preserve">3.1 Core Design</w:t>
      </w:r>
    </w:p>
    <w:p>
      <w:pPr>
        <w:spacing w:after="200"/>
      </w:pPr>
      <w:r>
        <w:t xml:space="preserve">The Bitcoin Land Bond functions as independent 501(c)(3) with mandates to: acquire and hold fee-simple land for reentry housing, receive and manage seized cryptocurrency, partner with nonprofit developers, and fund wraparound resident services.</w:t>
      </w:r>
    </w:p>
    <w:p>
      <w:pPr>
        <w:pStyle w:val="Heading2"/>
      </w:pPr>
      <w:r>
        <w:t xml:space="preserve">3.2 Geographic Targeting</w:t>
      </w:r>
    </w:p>
    <w:p>
      <w:pPr>
        <w:spacing w:after="200"/>
      </w:pPr>
      <w:r>
        <w:t xml:space="preserve">Five pilot cities: San Francisco, Oakland, Los Angeles, Chicago, New York. Each receives $100M over 5-7 years, enabling 50-100 land parcels and 500-1,500 reentry housing units.</w:t>
      </w:r>
    </w:p>
    <w:p>
      <w:pPr>
        <w:pStyle w:val="Heading2"/>
      </w:pPr>
      <w:r>
        <w:t xml:space="preserve">3.3 Capital Deployment Sequence</w:t>
      </w:r>
    </w:p>
    <w:p>
      <w:pPr>
        <w:pStyle w:val="ListParagraph"/>
        <w:numPr>
          <w:ilvl w:val="0"/>
          <w:numId w:val="3"/>
        </w:numPr>
      </w:pPr>
      <w:r>
        <w:t xml:space="preserve">Phase 1 (Y1): $100M received, governance established, community engagement begins</w:t>
      </w:r>
    </w:p>
    <w:p>
      <w:pPr>
        <w:pStyle w:val="ListParagraph"/>
        <w:numPr>
          <w:ilvl w:val="0"/>
          <w:numId w:val="3"/>
        </w:numPr>
      </w:pPr>
      <w:r>
        <w:t xml:space="preserve">Phase 2 (Y2-3): $200M deployed—land acquisition (40-50%), developer partnerships (30%), services (20%)</w:t>
      </w:r>
    </w:p>
    <w:p>
      <w:pPr>
        <w:pStyle w:val="ListParagraph"/>
        <w:numPr>
          <w:ilvl w:val="0"/>
          <w:numId w:val="3"/>
        </w:numPr>
      </w:pPr>
      <w:r>
        <w:t xml:space="preserve">Phase 3 (Y4-7): Full $500M deployed; land appreciation begins generating secondary capital</w:t>
      </w:r>
    </w:p>
    <w:p>
      <w:pPr>
        <w:pStyle w:val="ListParagraph"/>
        <w:numPr>
          <w:ilvl w:val="0"/>
          <w:numId w:val="3"/>
        </w:numPr>
      </w:pPr>
      <w:r>
        <w:t xml:space="preserve">Phase 4 (Y8+): Land portfolio generates $15-25M annually in appreciation—self-sustaining operations</w:t>
      </w:r>
    </w:p>
    <w:r>
      <w:br w:type="page"/>
    </w:r>
    <w:p>
      <w:pPr>
        <w:pStyle w:val="Heading1"/>
      </w:pPr>
      <w:r>
        <w:t xml:space="preserve">4. Governance Framework</w:t>
      </w:r>
    </w:p>
    <w:p>
      <w:pPr>
        <w:spacing w:after="200"/>
      </w:pPr>
      <w:r>
        <w:t xml:space="preserve">13-member Board drawn from: reentry/criminal justice (4), housing/development (3), finance/governance (3), community/government (3).</w:t>
      </w:r>
    </w:p>
    <w:p>
      <w:pPr>
        <w:spacing w:after="200"/>
      </w:pPr>
      <w:r>
        <w:t xml:space="preserve">All land encumbered by perpetual restrictive covenants. Deed restrictions mandate reentry housing use, prohibit sale without board approval, bind successors, enforceable by attorney general and community.</w:t>
      </w:r>
    </w:p>
    <w:r>
      <w:br w:type="page"/>
    </w:r>
    <w:p>
      <w:pPr>
        <w:pStyle w:val="Heading1"/>
      </w:pPr>
      <w:r>
        <w:t xml:space="preserve">5. Financial Mechanics</w:t>
      </w:r>
    </w:p>
    <w:p>
      <w:pPr>
        <w:pStyle w:val="Heading2"/>
      </w:pPr>
      <w:r>
        <w:t xml:space="preserve">5.1 Custody and Volatility Management</w:t>
      </w:r>
    </w:p>
    <w:p>
      <w:pPr>
        <w:spacing w:after="200"/>
      </w:pPr>
      <w:r>
        <w:t xml:space="preserve">Assets received via DOJ court order or statutory allocation. Held in institutional custody (Fidelity Digital Assets) with insurance.</w:t>
      </w:r>
    </w:p>
    <w:p>
      <w:pPr>
        <w:spacing w:after="200"/>
      </w:pPr>
      <w:r>
        <w:t xml:space="preserve">Conservative volatility strategy: 50% converted to USD immediately (removes downside), 30% held as Bitcoin (captures upside), 20% stablecoins (operational reserves).</w:t>
      </w:r>
    </w:p>
    <w:p>
      <w:pPr>
        <w:pStyle w:val="Heading2"/>
      </w:pPr>
      <w:r>
        <w:t xml:space="preserve">5.2 Land Acquisition Model</w:t>
      </w:r>
    </w:p>
    <w:p>
      <w:pPr>
        <w:spacing w:after="200"/>
      </w:pPr>
      <w:r>
        <w:t xml:space="preserve">Target high-opportunity neighborhoods with job density, transit, service infrastructure, $400K-$1.2M median home values. Acquire underutilized land: parking lots, vacant public sites, industrial adaptive reuse candidates.</w:t>
      </w:r>
    </w:p>
    <w:p>
      <w:pPr>
        <w:spacing w:after="200"/>
      </w:pPr>
      <w:r>
        <w:t xml:space="preserve">Execute 60-99 year ground leases with nonprofit developers at below-market rates. Developer constructs/acquires deed-restricted housing; Bitcoin Land Bond receives ground lease payments ($50K-$100K/year) and site appreciation (3-5% annually).</w:t>
      </w:r>
    </w:p>
    <w:p>
      <w:pPr>
        <w:pStyle w:val="Heading2"/>
      </w:pPr>
      <w:r>
        <w:t xml:space="preserve">5.3 Development Partnerships and Services</w:t>
      </w:r>
    </w:p>
    <w:p>
      <w:pPr>
        <w:spacing w:after="200"/>
      </w:pPr>
      <w:r>
        <w:t xml:space="preserve">Capital allocation: 45% land acquisition, 30% developer partnerships, 20% resident services, 5% administration.</w:t>
      </w:r>
    </w:p>
    <w:p>
      <w:pPr>
        <w:spacing w:after="200"/>
      </w:pPr>
      <w:r>
        <w:t xml:space="preserve">Services: employment readiness, mental health/SUD treatment, peer mentorship, family reunification, legal assistance.</w:t>
      </w:r>
    </w:p>
    <w:p>
      <w:pPr>
        <w:spacing w:after="200"/>
      </w:pPr>
      <w:r>
        <w:t xml:space="preserve">Outcome tracking: housing stability (12-month retention), employment, recidivism rates, income growth, family reunification—published annually.</w:t>
      </w:r>
    </w:p>
    <w:r>
      <w:br w:type="page"/>
    </w:r>
    <w:p>
      <w:pPr>
        <w:pStyle w:val="Heading1"/>
      </w:pPr>
      <w:r>
        <w:t xml:space="preserve">6. Implementation Roadmap</w:t>
      </w:r>
    </w:p>
    <w:p>
      <w:pPr>
        <w:pStyle w:val="Heading2"/>
      </w:pPr>
      <w:r>
        <w:t xml:space="preserve">Phase 1: Establishment (Months 1-12)</w:t>
      </w:r>
    </w:p>
    <w:p>
      <w:pPr>
        <w:pStyle w:val="ListParagraph"/>
        <w:numPr>
          <w:ilvl w:val="0"/>
          <w:numId w:val="2"/>
        </w:numPr>
      </w:pPr>
      <w:r>
        <w:t xml:space="preserve">Legislative/executive action authorizing court-ordered seized asset redirection</w:t>
      </w:r>
    </w:p>
    <w:p>
      <w:pPr>
        <w:pStyle w:val="ListParagraph"/>
        <w:numPr>
          <w:ilvl w:val="0"/>
          <w:numId w:val="2"/>
        </w:numPr>
      </w:pPr>
      <w:r>
        <w:t xml:space="preserve">Bitcoin Land Bond incorporated; 501(c)(3) approved</w:t>
      </w:r>
    </w:p>
    <w:p>
      <w:pPr>
        <w:pStyle w:val="ListParagraph"/>
        <w:numPr>
          <w:ilvl w:val="0"/>
          <w:numId w:val="2"/>
        </w:numPr>
      </w:pPr>
      <w:r>
        <w:t xml:space="preserve">13-member Board assembled; Community Advisory Board recruitment</w:t>
      </w:r>
    </w:p>
    <w:p>
      <w:pPr>
        <w:pStyle w:val="ListParagraph"/>
        <w:numPr>
          <w:ilvl w:val="0"/>
          <w:numId w:val="2"/>
        </w:numPr>
      </w:pPr>
      <w:r>
        <w:t xml:space="preserve">$100M Bitcoin transferred to custody; staff hired</w:t>
      </w:r>
    </w:p>
    <w:p>
      <w:pPr>
        <w:pStyle w:val="ListParagraph"/>
        <w:numPr>
          <w:ilvl w:val="0"/>
          <w:numId w:val="2"/>
        </w:numPr>
      </w:pPr>
      <w:r>
        <w:t xml:space="preserve">Community listening sessions in 5 pilot cities</w:t>
      </w:r>
    </w:p>
    <w:p>
      <w:pPr>
        <w:pStyle w:val="Heading2"/>
        <w:spacing w:before="200"/>
      </w:pPr>
      <w:r>
        <w:t xml:space="preserve">Phase 2: Initial Deployment (Years 2-3)</w:t>
      </w:r>
    </w:p>
    <w:p>
      <w:pPr>
        <w:pStyle w:val="ListParagraph"/>
        <w:numPr>
          <w:ilvl w:val="0"/>
          <w:numId w:val="2"/>
        </w:numPr>
      </w:pPr>
      <w:r>
        <w:t xml:space="preserve">Identify and negotiate 75-100 land parcels</w:t>
      </w:r>
    </w:p>
    <w:p>
      <w:pPr>
        <w:pStyle w:val="ListParagraph"/>
        <w:numPr>
          <w:ilvl w:val="0"/>
          <w:numId w:val="2"/>
        </w:numPr>
      </w:pPr>
      <w:r>
        <w:t xml:space="preserve">Close on 40-50 parcels; deploy $200M</w:t>
      </w:r>
    </w:p>
    <w:p>
      <w:pPr>
        <w:pStyle w:val="ListParagraph"/>
        <w:numPr>
          <w:ilvl w:val="0"/>
          <w:numId w:val="2"/>
        </w:numPr>
      </w:pPr>
      <w:r>
        <w:t xml:space="preserve">Execute ground leases with 20-25 nonprofit developers</w:t>
      </w:r>
    </w:p>
    <w:p>
      <w:pPr>
        <w:pStyle w:val="ListParagraph"/>
        <w:numPr>
          <w:ilvl w:val="0"/>
          <w:numId w:val="2"/>
        </w:numPr>
      </w:pPr>
      <w:r>
        <w:t xml:space="preserve">Deploy $50-75M in resident services</w:t>
      </w:r>
    </w:p>
    <w:p>
      <w:pPr>
        <w:pStyle w:val="ListParagraph"/>
        <w:numPr>
          <w:ilvl w:val="0"/>
          <w:numId w:val="2"/>
        </w:numPr>
      </w:pPr>
      <w:r>
        <w:t xml:space="preserve">250+ residents move into housing</w:t>
      </w:r>
    </w:p>
    <w:r>
      <w:br w:type="page"/>
    </w:r>
    <w:p>
      <w:pPr>
        <w:pStyle w:val="Heading1"/>
      </w:pPr>
      <w:r>
        <w:t xml:space="preserve">7. Policy Recommendations and Legislative Pathways</w:t>
      </w:r>
    </w:p>
    <w:p>
      <w:pPr>
        <w:pStyle w:val="Heading2"/>
      </w:pPr>
      <w:r>
        <w:t xml:space="preserve">7.1 Federal Authority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Executive Reinterpretation (Immediate): </w:t>
      </w:r>
      <w:r>
        <w:t xml:space="preserve">DOJ and Treasury issue guidance authorizing U.S. Attorneys and federal judges to redirect seized cryptocurrency to nonprofits via court order.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Asset Forfeiture Reform Bill (Medium-term): </w:t>
      </w:r>
      <w:r>
        <w:t xml:space="preserve">Amend 28 U.S.C. § 524 to dedicate 5-10% of annual civil asset forfeiture proceeds to reentry housing.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Comprehensive Criminal Justice Investment Act (Long-term): </w:t>
      </w:r>
      <w:r>
        <w:t xml:space="preserve">$2-3B in seized asset redirection across reentry housing, workforce development, victim compensation.</w:t>
      </w:r>
    </w:p>
    <w:p>
      <w:pPr>
        <w:pStyle w:val="Heading2"/>
      </w:pPr>
      <w:r>
        <w:t xml:space="preserve">7.2 State and Local Implementation</w:t>
      </w:r>
    </w:p>
    <w:p>
      <w:pPr>
        <w:pStyle w:val="ListParagraph"/>
        <w:numPr>
          <w:ilvl w:val="0"/>
          <w:numId w:val="2"/>
        </w:numPr>
      </w:pPr>
      <w:r>
        <w:t xml:space="preserve">Land Donations: Contribute publicly owned land at zero or below-market rates</w:t>
      </w:r>
    </w:p>
    <w:p>
      <w:pPr>
        <w:pStyle w:val="ListParagraph"/>
        <w:numPr>
          <w:ilvl w:val="0"/>
          <w:numId w:val="2"/>
        </w:numPr>
      </w:pPr>
      <w:r>
        <w:t xml:space="preserve">Tax Incentives: Exempt ground lease payments from property tax; offer developer credits</w:t>
      </w:r>
    </w:p>
    <w:p>
      <w:pPr>
        <w:pStyle w:val="ListParagraph"/>
        <w:numPr>
          <w:ilvl w:val="0"/>
          <w:numId w:val="2"/>
        </w:numPr>
      </w:pPr>
      <w:r>
        <w:t xml:space="preserve">Zoning Streamlining: Fast-track approvals, reduce parking/setback requirements</w:t>
      </w:r>
    </w:p>
    <w:p>
      <w:pPr>
        <w:pStyle w:val="ListParagraph"/>
        <w:numPr>
          <w:ilvl w:val="0"/>
          <w:numId w:val="2"/>
        </w:numPr>
      </w:pPr>
      <w:r>
        <w:t xml:space="preserve">Reentry Service Contracts: Direct corrections/parole agencies to refer clients</w:t>
      </w:r>
    </w:p>
    <w:p>
      <w:pPr>
        <w:pStyle w:val="Heading2"/>
        <w:spacing w:before="200"/>
      </w:pPr>
      <w:r>
        <w:t xml:space="preserve">7.3 Political Messaging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Law-and-Order: </w:t>
      </w:r>
      <w:r>
        <w:t xml:space="preserve">Criminals' proceeds funding law-abiding citizens' housing. Maximizing forfeiture asset value.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Criminal Justice Reform: </w:t>
      </w:r>
      <w:r>
        <w:t xml:space="preserve">Redirecting seized assets from militarized police budgets to reentry success.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Fiscal Conservative: </w:t>
      </w:r>
      <w:r>
        <w:t xml:space="preserve">Self-financing model. Land appreciation generates permanent revenue. No ongoing appropriations.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Housing Affordability: </w:t>
      </w:r>
      <w:r>
        <w:t xml:space="preserve">Expanding deed-restricted housing supply. Land acquisition reducing development costs 30-40%.</w:t>
      </w:r>
    </w:p>
    <w:r>
      <w:br w:type="page"/>
    </w:r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The Bitcoin Land Bond represents a paradigm shift in deploying seized criminal assets. Rather than liquidating forfeited cryptocurrency at fire-sale prices or leaving it idle in government vaults, this framework channels billions in criminal proceeds into permanent housing infrastructure for people rebuilding lives after incarceration.</w:t>
      </w:r>
    </w:p>
    <w:p>
      <w:pPr>
        <w:spacing w:after="200"/>
      </w:pPr>
      <w:r>
        <w:t xml:space="preserve">The model is financially sound, operationally proven, politically defensible. By Year 8, $500M in initial transfers generate $25-30M annual operating revenue, enabling perpetual expansion. By Year 15, $1.5-2B in appreciated land assets serve 5,000-7,000 formerly incarcerated residents across major U.S. cities.</w:t>
      </w:r>
    </w:p>
    <w:p>
      <w:pPr>
        <w:spacing w:after="200"/>
      </w:pPr>
      <w:r>
        <w:t xml:space="preserve">Most importantly, this addresses market failure: housing discrimination that perpetuates recidivism and prevents reentry success. The Bitcoin Land Bond demonstrates criminal justice reform and public safety align.</w:t>
      </w:r>
    </w:p>
    <w:p>
      <w:pPr>
        <w:spacing w:after="200"/>
      </w:pPr>
      <w:r>
        <w:t xml:space="preserve">Path forward: executive action on seized asset custody, legislative asset forfeiture reform, state/local partnership. The opportunity is substantial, mechanism proven, moral imperative clear.</w:t>
      </w:r>
    </w:p>
    <w:p>
      <w:pPr>
        <w:spacing w:after="200"/>
      </w:pPr>
      <w:r>
        <w:t xml:space="preserve">It is time to deploy criminals' proceeds to rebuild lives of people they once harmed.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4546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2026-05-03T07:12:23.506Z</dcterms:created>
  <dcterms:modified xsi:type="dcterms:W3CDTF">2026-05-03T07:12:23.506Z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